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89</w:t>
      </w:r>
    </w:p>
    <w:p>
      <w:r>
        <w:t>Bundesgericht (BGE), 1957-01-01, FR</w:t>
      </w:r>
    </w:p>
    <w:p>
      <w:r>
        <w:rPr>
          <w:b/>
        </w:rPr>
        <w:t xml:space="preserve">Quelle: </w:t>
      </w:r>
      <w:r>
        <w:t>https://mcp.opencaselaw.ch/entscheid/bge_BGE_83_II_89</w:t>
      </w:r>
    </w:p>
    <w:p>
      <w:r>
        <w:t>FR: ATF 83 II 89</w:t>
      </w:r>
    </w:p>
    <w:p>
      <w:r>
        <w:t>IT: DTF 83 II 89</w:t>
      </w:r>
    </w:p>
    <w:p>
      <w:pPr>
        <w:pStyle w:val="Heading2"/>
      </w:pPr>
      <w:r>
        <w:t>Regeste</w:t>
      </w:r>
    </w:p>
    <w:p>
      <w:r>
        <w:t>Regeste Art. 157 ZGB. Gerichtlich genehmigte Scheidungskonvention, worin der Vater sich zu mehr als das Übliche betragenden Unterhaltsbeiträgen für die der Mutter anvertrauten Kinder verpflichtete mit Rücksicht auf die engen Beziehungen, die er mit ihnen weiterpflegen sollte. Herabsetzung der Beiträge nach Abbruch dieser Beziehungen infolge des Wegzuges von Mutter und Kindern.</w:t>
      </w:r>
    </w:p>
    <w:p>
      <w:r>
        <w:t>Regeste Art. 157 CC. Contribution alimentaire dépassant la norme usuelle que le père s'est engagé à payer pour les enfants confiés à la mère, dans une convention ratifiée par le juge du divorce, eu égard aux relations personnelles étroites qu'il devait conserver avec eux. Réduction de cette contribution à la suite du départ de la mère et des enfants qui a eu pour effet la rupture des rapports de ceux-ci avec leur père.</w:t>
      </w:r>
    </w:p>
    <w:p>
      <w:r>
        <w:t>Regesto Art. 157 CC. Convenzione approvata dal giudice del divorzio, mediante la quale il padre si era obbligato a pagare, per i figli affidati alla madre, alimenti in una misura superiore ai limiti normali, a motivo delle strette relazioni personali che doveva conservare con i figli medesimi. Riduzione degli alimenti quando questi stretti rapporti sono rotti, in seguito alla partenza della madre e dei figli.</w:t>
      </w:r>
    </w:p>
    <w:p>
      <w:pPr>
        <w:pStyle w:val="Heading2"/>
      </w:pPr>
      <w:r>
        <w:t>Erwägungen</w:t>
      </w:r>
    </w:p>
    <w:p>
      <w:r>
        <w:rPr>
          <w:b/>
        </w:rPr>
        <w:t>E. 2</w:t>
      </w:r>
    </w:p>
    <w:p>
      <w:r>
        <w:t>En principe, tout fait nouveau, notamment le départ du père ou de la mère, peut fonder, conformément à l'art. 157 CC, une modification des dispositions du jugement de divorce concernant les enfants. Le départ de celui des parents qui est investi de la puissance paternelle ne constitue cependant pas en soi un motif de réduire la pension que l'autre est tenu de payer pour les enfants. Si, en l'espèce, la contribution à l'entretien des. enfants due par le recourant ne dépassait pas ce qui est nécessaire pour couvrir leurs besoins eu égard aux ressources et à la situation économique de dame Messinger, une diminution ne pourrait pas en être ordonnée. Toutefois, la somme totale de 500 fr. que Denogent s'est engagé à payer par mois est supérieure à la norme usuelle. A ce sujet, la Cour cantonale constate en fait que le demandeur a assumé cette obligation parce que la convention de divorce BGE 83 II 89 S. 92 prévoyait par ailleurs qu'il conserverait des relations personnelles étroites avec les enfants et qu'il pourrait donner son avis sur leur éducation et leurs études. Or leur départ pour l'Australie rend pratiquement impossible l'exercice du droit de visite qui lui est réservé et l'empêche de suivre leur formation. L'autorité cantonale relève de plus que les enfants ont rompu toutes relations avec le recourant et qu'ils n'ont même pas répondu aux lettres qu'il leur avait adressées; elle reproche avec raison à dame Messinger de ne pas avoir fait tout ce qui était en son pouvoir pour qu'ils gardent des rapports personnels avec leur père. L'intimée ne saurait faire valoir qu'il est certes regrettable que les enfants ne correspondent pas avec le demandeur, mais qu'elle ne peut les y contraindre, parce qu'ils sont trop grands. Comme le remarque à juste titre la Cour cantonale, les enfants étaient jeunes lors de leur départ pour l'Australie et dame Messinger aurait certainement pu les habituer à écrire à leur père; par ailleurs, elle avait l'obligation, en vertu des clauses de la convention réglant les effets accessoires du divorce, de renseigner le demandeur sur l'éducation et le développement des enfants; elle n'y a pas satisfait et a laissé Denogent sans nouvelles à leur sujet. La situation ainsi créée ne correspond dès lors pas aux conditions sur lesquelles était fondé l'engagement assumé par le recourant de payer une pension dépassant la norme usuelle, de sorte qu'il se justifie en principe de la réduire. Il est certes exact, comme l'observe l'intimée, que l'art. 157 CC a pour but d'assurer la sauvegarde des intérêts des enfants. C'est pourquoi la pension ne saurait être supprimée ou diminuée dans une mesure qui ne permettrait plus de couvrir normalement les frais d'entretien et d'éducation des enfants. Celui des parents qui n'a pas la puissance paternelle et qui doit payer une contribution alimentaire pour les enfants a néanmoins le droit, en cas de changement des circonstances, d'exiger que ses intérêts soient pris en considération et de demander une réduction de la pension, pour autant qu'elle reste dans des BGE 83 II 89 S. 93 limites admissibles eu égard aux besoins des enfants et à la situation de l'époux auquel ils sont confiés. La fixation du montant de la réduction relève de l'appréciation. Il faut à ce sujet partir de la somme qu'aurait allouée le juge du divorce au cas où les parties n'auraient pas conclu de convention prévoyant une pension supérieure à celle que leur situation justifiait. Il s'agit là cependant également d'une question d'appréciation. Le Tribunal fédéral ne peut dès lors réformer la décision de l'autorité cantonale que si celle-ci a fait un usage inadmissible de son pouvoir d'appréciation. Ce n'est pas le cas en l'espèce. D'une part, le recourant, qui déclare prendre acte de la réduction de la pension à 180 fr. par mois et par enfant opérée en raison des conditions résultant du départ de l'intimée pour l'Australie, ne peut se plaindre de ce que la Cour cantonale n'ait pas été plus loin, car il ne lui a pas fourni la preuve de l'aggravation de sa situation économique. D'autre part, on peut admettre avec l'autorité cantonale que dame Messinger doit être en mesure de pourvoir aux besoins des enfants au moyen de son salaire, qui équivaut à environ 550 fr. suisses, et de la pension de 360 fr. au total que doit payer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