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79</w:t>
      </w:r>
    </w:p>
    <w:p>
      <w:r>
        <w:t>Bundesgericht (BGE), 1957-01-01, FR</w:t>
      </w:r>
    </w:p>
    <w:p>
      <w:r>
        <w:rPr>
          <w:b/>
        </w:rPr>
        <w:t xml:space="preserve">Quelle: </w:t>
      </w:r>
      <w:r>
        <w:t>https://mcp.opencaselaw.ch/entscheid/bge_BGE_83_II_79</w:t>
      </w:r>
    </w:p>
    <w:p>
      <w:r>
        <w:t>FR: ATF 83 II 79</w:t>
      </w:r>
    </w:p>
    <w:p>
      <w:r>
        <w:t>IT: DTF 83 II 79</w:t>
      </w:r>
    </w:p>
    <w:p>
      <w:pPr>
        <w:pStyle w:val="Heading2"/>
      </w:pPr>
      <w:r>
        <w:t>Regeste</w:t>
      </w:r>
    </w:p>
    <w:p>
      <w:r>
        <w:t>Regeste 1. Eigenmächtiger Gebrauch des Fahrzeugs durch Dritten, Verschulden des Halters, MFG Art. 37 Abs. 5, Art. 55. Verschulden liegend im Parkieren eines Scooters ohne ihn abzuschliessen? (Erw. 1). 2. Welches ist bei alternativer Klage gegen zwei Beklagte der Devolutiveffekt der von einem derselben eingereichten Berufung? (Erw. 2).</w:t>
      </w:r>
    </w:p>
    <w:p>
      <w:r>
        <w:t>Regeste 1. Course non autorisée, faute du détenteur, art. 37 al. 5 et 55 LA. Le conducteur qui parque son scooter sans le verrouiller commet-il une faute? (consid. 1). 2. En cas d'actions alternatives intentées à deux défendeurs, quel est l'effet dévolutif du recours en réforme déposé par l'un d'eux? (consid. 2).</w:t>
      </w:r>
    </w:p>
    <w:p>
      <w:r>
        <w:t>Regesto 1. Uso arbitrario dell'autoveicolo da parte di un terzo, colpa del detentore, art. 37 cp. 5 e 55 LA. Il conducente che posteggia il suo scooter senza bloccarlo commette una colpa? (consid. 1). 2. In caso di azioni alternative promosse contre due convenuti, qual è l'effetto devolutivo del ricorso per riforma interposto da uno di essi? (consid. 2).</w:t>
      </w:r>
    </w:p>
    <w:p>
      <w:pPr>
        <w:pStyle w:val="Heading2"/>
      </w:pPr>
      <w:r>
        <w:t>Erwägungen</w:t>
      </w:r>
    </w:p>
    <w:p>
      <w:r>
        <w:rPr>
          <w:b/>
        </w:rPr>
        <w:t>E. 1</w:t>
      </w:r>
    </w:p>
    <w:p>
      <w:r>
        <w:t>Lorsqu'un véhicule automobile est utilisé par un tiers non autorisé sans que son détenteur ait commis de faute, celui-ci ne répond pas du dommage causé par cet emploi (art. 37 al. 5 LA). C'est alors le tiers qui est civilement BGE 83 II 79 S. 82 responsable. Sauf dans le cas où la personne blessée ou tuée avait pris place sur le véhicule en sachant qu'il s'agissait d'une course non autorisée (art. 55 al. 3 LA), le lésé ou ses survivants peuvent actionner directement la compagnie mandataire des entreprises avec lesquelles la Confédération a conclu l'assurance spéciale prévue par l'art. 55 LA. Ne sont toutefois pas considérées comme des tiers au sens des art. 37 al. 5 et 55 al. 1 LA les personnes que le détenteur emploie au service du véhicule ou qui le conduisent avec son consentement (art. 37 al. 6 LA). Il est constant, en l'espèce, que Pahud était un tiers non autorisé: il ne se trouvait pas dans l'un des cas prévus par l'art. 37 al. 6 LA et c'est contre le gré d'Ummel qu'il a utilisé le scooter. En outre, René Stoeckli ignorait que Pahud avait volé ce véhicule. Mais, pour que l'action intentée à la Zurich soit fondée en principe, il faut encore qu'Ummel n'ait commis aucune faute dans la garde de son scooter. Cette condition n'est remplie que s'il a pris toutes les mesures auxquelles un détenteur expérimenté et consciencieux aurait recouru dans les mêmes circonstances (RO 77 II 63). Or un conducteur diligent prend habituellement les précautions voulues pour empêcher le vol de son véhicule. Certes, ce risque n'est pas très grand. Mais, s'il se réalise, il entraîne des dangers considérables pour les tiers. En effet, les courses entreprises au moyen de véhicules volés sont en général le fait d'individus dénués de sens moral. En outre, ils ne connaissent pas la machine qu'ils utilisent et ils agissent fréquemment sous l'influence de l'alcool. En l'espèce, Ummel avait parqué son véhicule à proximité de l'endroit où il se tenait. S'il était demeuré constamment à cette place, aucune précaution spéciale n'eût été nécessaire, car il pouvait surveiller son scooter et empêcher qu'un tiers ne s'en emparât. Mais il quittait cet endroit deux fois par heure pour cinq à dix minutes. Or il devait se rendre compte que, pendant ce laps de temps, BGE 83 II 79 S. 83 un tiers pouvait s'approprier le véhicule, le mettre en marche et s'éloigner. Ce risque était d'autant moins négligeable que, le dimanche matin, la clientèle du buffet de la gare comprend notamment des individus qui ont passé la nuit dans des établissement publics et qui sont en état d'ébriété. Dans de telles conditions, un conducteur expérimenté et diligent aurait utilisé le dispositif de sécurité prévu par le constructeur et bloqué la direction du scooter au moyen d'un cadenas. Il est vrai que celui-ci n'était pas livré avec le véhicule. Mais il est possible de se le procurer pour une somme modique et on peut exiger du détenteur cette petite dépense supplémentaire. Certes, la pose d'un cadenas ne rend pas le vol absolument impossible. Cet appareil peut être forcé ou rompu; en outre, il suffisait, selon l'expert, de desserrer les deux petits écrous d'une bride pour libérer la direction. Mais ces opérations exigent des outils et prennent du temps. De plus, lorsque le véhicule est, comme c'était le cas en l'espèce, parqué sur une place fréquentée, elles peuvent attirer l'attention des passants. Ainsi, la pose d'un cadenas rend le vol beaucoup plus difficile et, dans le cas particulier, elle eût très vraisemblablement empêché Pahud de s'emparer du scooter. La juridiction cantonale relève en outre que le détenteur ne pouvait être tenu de bloquer la direction de son véhicule chaque fois qu'il pénétrait dans un établissement public, car cette opération l'eût excessivement retardé dans son travail. Mais, si cet argument est peut-être justifié pour les tournées qu'Ummel faisait dans les cafés et restaurants de Lausanne, il manque de pertinence en l'espèce. En effet, Ummel n'utilisait pas son scooter le dimanche matin, entre 4 h. et 10 h. Il suffisait donc qu'il le cadenassât en arrivant sur place, opération qui ne prenait que quelques secondes. On doit en conclure que le détenteur a commis une faute dans la garde de son véhicule. Si légère qu'elle soit, elle le rend responsable du dommage que Pahud a causé aux BGE 83 II 79 S. 84 tiers par suite de l'emploi du scooter. Dès lors, l'action intentée à la Zurich doit être rejetée.</w:t>
      </w:r>
    </w:p>
    <w:p>
      <w:r>
        <w:rPr>
          <w:b/>
        </w:rPr>
        <w:t>E. 2</w:t>
      </w:r>
    </w:p>
    <w:p>
      <w:r>
        <w:t>Ummel ayant commis une faute, l'Assurance Mutuelle Vaudoise répond en principe du préjudice subi par Johann Stoeckli. Cependant, en droit vaudois, l'appel en cause a pour effet la jonction au procès d'une action principale de l'appelant contre l'appelé (Journal des tribunaux, 1951 III p. 27). Le Tribunal cantonal se trouvait donc en présence de deux actions, qu'il a liquidées par une seule décision. Or le demandeur n'a pas recouru contre ce jugement en tant qu'il rejetait l'action intentée à l'Assurance Mutuelle Vaudoise. On peut dès lors se demander si la décision cantonale n'est pas définitive sur ce point et si le Tribunal fédéral a encore le pouvoir d'examiner le mérite des conclusions prises contre cette compagnie. En principe, un recours ne remet en question que les droits et obligations du recourant et de l'intimé; il n'a aucune influence sur ceux d'autres personnes, même si elles ont été parties dans l'instance précédente. Cette règle souffre toutefois une exception lorsque les différentes causes sont indissolublement liées. C'est le cas en l'espèce. On se trouve en présence de deux actions alternatives, dont une est nécessairement fondée, du moins en principe. L'admission de l'une entraîne le rejet de l'autre, et réciproquement. Sans doute auraient-elles pu être introduites séparément. Mais, dès le moment où elles sont l'objet d'une même procédure, elles ne sauraient être dissociées. En effet, la question de la responsabilité de principe oppose en réalité les deux compagnies d'assurances, même si c'est Stoeckli qui, formellement, intervient comme demandeur. On doit donc admettre que le recours de la Zurich reporte la cause en son entier devant le Tribunal fédéral. Aussi bien le demandeur ne pouvait-il former lui-même un recours dirigé contre l'Assurance Mutuelle Vaudoise. Ayant obtenu la condamnation de la Zurich, il n'avait aucun intérêt à déférer au Tribunal fédéral la cause qui l'opposait à l'Assurance Mutuelle Vaudoise. Quant à un recours éventuel, BGE 83 II 79 S. 85 il eût été irrecevable: un recours en réforme ne saurait être conditionnel. Il est vrai que le recours de la Zurich a fait renaître l'intérêt de Stoeckli à poursuivre son action contre la seconde compagnie. Mais, à ce moment, le demandeur ne pouvait plus former de recours principal. En outre, il n'aurait pu, dans un recours joint, prendre des conclusions dirigées contre l'Assurance Mutuelle Vaudoise (art. 59 al. 1 OJ). On doit admettre, dans ces conditions, que l'effet dévolutif du recours de la Zurich s'étend également à l'action intentée à l'Assurance Mutuelle Vaudoise. Dès lors, celle-ci peut encore être déclarée responsable du dommage subi par Johann Stoeckli.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