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78</w:t>
      </w:r>
    </w:p>
    <w:p>
      <w:r>
        <w:t>Bundesgericht (BGE), 1957-02-19, FR</w:t>
      </w:r>
    </w:p>
    <w:p>
      <w:r>
        <w:rPr>
          <w:b/>
        </w:rPr>
        <w:t xml:space="preserve">Quelle: </w:t>
      </w:r>
      <w:r>
        <w:t>https://mcp.opencaselaw.ch/entscheid/bge_BGE_83_II_78</w:t>
      </w:r>
    </w:p>
    <w:p>
      <w:r>
        <w:t>FR: ATF 83 II 78</w:t>
      </w:r>
    </w:p>
    <w:p>
      <w:r>
        <w:t>IT: DTF 83 II 78</w:t>
      </w:r>
    </w:p>
    <w:p>
      <w:pPr>
        <w:pStyle w:val="Heading2"/>
      </w:pPr>
      <w:r>
        <w:t>Regeste</w:t>
      </w:r>
    </w:p>
    <w:p>
      <w:r>
        <w:t>Regeste Art. 9 HRAG. Voraussetzungen für die richterliche Überprüfung des vereinbarten Lohnes.</w:t>
      </w:r>
    </w:p>
    <w:p>
      <w:r>
        <w:t>Regeste Art. 9 LEVC. Quand le juge peut-il revoir le salaire convenu?</w:t>
      </w:r>
    </w:p>
    <w:p>
      <w:r>
        <w:t>Regesto Art. 9 LICV. Quando il giudice può sindacare il salario convenuto dalle parti?</w:t>
      </w:r>
    </w:p>
    <w:p>
      <w:pPr>
        <w:pStyle w:val="Heading2"/>
      </w:pPr>
      <w:r>
        <w:t>Volltext</w:t>
      </w:r>
    </w:p>
    <w:p>
      <w:r>
        <w:t>Bundesgericht (BGE) Band II 1957 BGE 83 II 78 Tribunal fédéral (ATF) Volume II 1957 BGE 83 II 78 Tribunale federale (DTF) Volume II 1957 BGE 83 II 78</w:t>
      </w:r>
    </w:p>
    <w:p>
      <w:r>
        <w:t>Regeste Art. 9 HRAG. Voraussetzungen für die richterliche Überprüfung des vereinbarten Lohnes. Regeste Art. 9 LEVC. Quand le juge peut-il revoir le salaire convenu? Regesto Art. 9 LICV. Quando il giudice può sindacare il salario convenuto dalle parti?</w:t>
      </w:r>
    </w:p>
    <w:p>
      <w:r>
        <w:t>Urteilskopf 83 II 78 13. Extrait de l'arrêt de la Ie Cour civile du 19 février 1957 dans la cause van Leisen SA contre Murri. Regeste Art. 9 HRAG. Voraussetzungen für die richterliche Überprüfung des vereinbarten Lohnes. Erwägungen ab Seite 78 BGE 83 II 78 S. 78 D'après l'art. 9 LEVC, l'employeur est tenu de payer au voyageur un salaire comportant un traitement fixe (al. 1); pour que le salaire puisse consister exclusivement ou principalement en une provision, il faut qu'il constitue une rémunération convenable des services du voyageur (al. 2). Il ressort clairement de ce texte que les parties sont, en principe, libres de fixer le salaire et que celui-ci ne peut être revu par le juge que s'il consiste principalement ou exclusivement en une commission. Pour admettre que la rétribution du voyageur est toujours soumise à l'examen du juge, les juridictions cantonales se sont toutefois fondées sur l'esprit de la loi et sur son but de protection sociale. Il est exact que l'art. 9 LEVC est destiné à protéger le voyageur. Mais on n'en saurait conclure que celui-ci doive, dans tous les cas, bénéficier d'une protection plus grande que les autres employés. Ce que le législateur a voulu éviter, c'est que l'employeur exploite son voyageur en lui promettant uniquement ou principalement des commissions qui, dans la suite, se révèlent insuffisantes. Lorsqu'on ne se trouve pas dans un tel cas, la liberté contractuelle reste entière, sous réserve des dispositions générales du code des obligations (art. 19 et suiv.). BGE 83 II 78 S. 79 C'est du reste ce qui ressort du message du Conseil fédéral relatif à la loi sur les conditions d'engagement des voyageurs de commerce (cf. FF 1940 p. 1361 et suiv.).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