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7</w:t>
      </w:r>
    </w:p>
    <w:p>
      <w:r>
        <w:t>Bundesgericht (BGE), 1957-01-01, DE</w:t>
      </w:r>
    </w:p>
    <w:p>
      <w:r>
        <w:rPr>
          <w:b/>
        </w:rPr>
        <w:t xml:space="preserve">Quelle: </w:t>
      </w:r>
      <w:r>
        <w:t>https://mcp.opencaselaw.ch/entscheid/bge_BGE_83_II_7</w:t>
      </w:r>
    </w:p>
    <w:p>
      <w:r>
        <w:t>FR: ATF 83 II 7</w:t>
      </w:r>
    </w:p>
    <w:p>
      <w:r>
        <w:t>IT: DTF 83 II 7</w:t>
      </w:r>
    </w:p>
    <w:p>
      <w:pPr>
        <w:pStyle w:val="Heading2"/>
      </w:pPr>
      <w:r>
        <w:t>Regeste</w:t>
      </w:r>
    </w:p>
    <w:p>
      <w:r>
        <w:t>Regeste Verwandtenunterstützungspflicht (Art. 328/329 ZGB). Bemessung des Unterstützungsanspruchs. Einrede der beklagten Schwester, dass ein nicht belangter Bruder ebenfalls unterstützungspflichtig sei. Günstige Verhältnisse im Sinne von Art. 329 Abs. 2 ZGB? Verteilung der Unterstützungslast unter mehrere Pflichtige.</w:t>
      </w:r>
    </w:p>
    <w:p>
      <w:r>
        <w:t>Regeste Dette alimentaire entre parents (art. 328/329 CC). Mesure de la créance alimentaire. Exception élevée par la soeur contre laquelle l'action est dirigée et fondée sur le fait qu'un frère qui n'a pas été mis en cause serait également débiteur d'aliments. Aisance au sens de l'art. 329 al. 2 CC? Répartition du fardeau de l'entretien entre plusieurs débiteurs.</w:t>
      </w:r>
    </w:p>
    <w:p>
      <w:r>
        <w:t>Regesto Assistenza tra parenti (art. 328/329 CC). Determinazione del credito assistenziale. Eccezione sollevata dalla sorella contro cui l'azione è diretta e basata sul fatto che un fratello, il quale non è stato chiamato in causa, sarebbe parimente tenuto.all'assistenza. Condizioni agiate a'sensi dell'art. 329 cp. 2 CC? Ripartizione dell'onere del mantenimento tra parecchi obbligati.</w:t>
      </w:r>
    </w:p>
    <w:p>
      <w:pPr>
        <w:pStyle w:val="Heading2"/>
      </w:pPr>
      <w:r>
        <w:t>Erwägungen</w:t>
      </w:r>
    </w:p>
    <w:p>
      <w:r>
        <w:rPr>
          <w:b/>
        </w:rPr>
        <w:t>E. 1</w:t>
      </w:r>
    </w:p>
    <w:p>
      <w:r>
        <w:t>Der Anspruch auf Unterstützung geht gemäss Art. 329 Abs. 1 ZGB auf die Leistung, die zum Lebensunterhalt des Bedürftigen erforderlich und den Verhältnissen des Pflichtigen angemessen ist. Es ist also in erster Linie zu prüfen, wie hoch der Notbedarf des Berechtigten ist. Auf diesen Betrag bleibt der Unterstützungsanspruch auch dann begrenzt, wenn der Pflichtige in der Lage wäre, mehr zu leisten. Dies ergibt sich aus Art 328 ZGB , wonach die Unterstützungspflicht zur Voraussetzung hat, dass die Verwandten, welche Unterstützung beanspruchen, "ohne diesen Beistand in Not geraten würden". Die Verwandtenunterstützung soll demnach nur der Not abhelfen. Die Vorschrift, dass die Unterstützung den Verhältnissen des Pflichtigen angemessen sein muss, bezieht sich nur auf den Fall, dass der Pflichtige nicht für den ganzen Notbedarf aufkommen kann (Urteil vom 25. November 1954 i.S. Ditscher; vgl. auch BGE 81 II 427 ). Auf welchen Betrag der Notbedarf im Sinne von Art. 329 ZGB zu beziffern sei, haben die gemäss Art. 329 Abs. 3 BGE 83 II 7 S. 9 ZGB zuständigen Behörden unter Berücksichtigung der besondern Verhältnisse des einzelnen Falles mit Hilfe der allgemeinen Lebenserfahrung selbständig zu bestimmen. Das sog. armenrechtliche Existenzminimum kann für sie, wie in BGE 81 II 427 dargelegt, nicht massgebend sein. Auch die Richtlinien, welche die Betreibungsbehörden bei der Festsetzung des Notbedarfs im Sinne von Art. 93 SchKG befolgen, sind für sie nicht verbindlich. Die zuständigen Behörden sind aber immerhin nicht gehindert, sich an diese - vielerorts auf eingehenden Untersuchungen über die Lebensbedürfnisse beruhenden - Richtlinien anzulehnen, da zwischen dem im Sinne von Art. 329 zum Lebensunterhalt Erforderlichen und dem im Sinne von Art. 93 SchKG unumgänglich Notwendigen kein Unterschied besteht, wenn man davon absieht, dass Art. 329 ZGB nur die Bedürfnisse des Unterstützungsberechtigten, Art. 93 SchKG dagegen diejenigen des Schuldners und seiner Familie in Betracht zieht (vgl. das bereits angeführte Urteil i.S. Ditscher und Erw. 5 des in BGE 81 II 427 auszugsweise veröffentlichten Urteils i.S. Kläsi, wo als nicht bundesrechtswidrig erklärt wurde, dass die kantonalen Behörden bei der Bemessung der dem Bedürftigen nach Art. 329 ZGB zukommenden Leistung vom betreibungsrechtlichen Notbedarf ausgingen). Die Auffassung der Vorinstanz, dass der Unterstützungsberechtigte auf eine über dem betreibungsrechtlichen Notbedarf liegende Lebenshaltung Anspruch habe, erweckt also mindestens in dieser allgemeinen Form Bedenken. Trotzdem ist die Bemessung des Unterstützungsanspruchs der Klägerin durch die Vorinstanz im Ergebnis nicht zu beanstanden. Der Betrag von Fr. 260.--, auf den der Unterstützungsberechtigte laut der Vernehmlassung des Departementes des Innern des Kantons Basel-Stadt vom 8. September 1955 nach ständiger Praxis des Regierungsrates Anspruch erheben kann, entspricht dem Grundbetrag des Existenzminimums für einen alleinstehenden, im Haushalt Angehöriger lebenden Schuldner ohne Unterstützungspflicht BGE 83 II 7 S. 10 gemäss der Weisung der Aufsichtsbehörde über das Betreibungs- und Konkursamt Basel-Stadt vom 9. Januar 1952. Seither sind die Lebenskosten erheblich gestiegen. Die kantonale Aufsichtsbehörde hat deswegen, wie dem Bundesgericht als Oberaufsichtsbehörde bekannt ist, am 15. Dezember 1956 mit Wirkung auf 1. Januar 1957 eine neue Weisung für die Berechnung des Existenzminimums erlassen, nach welcher der entsprechende Ansatz Fr. 240.-- zuzüglich Wohnungszins beträgt. Die Vorinstanz brauchte diese (erst nach Ausfällung des angefochtenen Urteils erfolgte) Revision nicht abzuwarten, um bei Anwendung von Art. 329 ZGB der in den letzten Jahren eingetretenen Teuerung Rechnung zu tragen. Auf Grund der allgemeinen Lebenserfahrung hatte sie auch zu berücksichtigen, dass die Klägerin wegen ihres prekären Gesundheitszustandes mit besondern, im Grundansatz des betreibungsrechtlichen Existenzminimums nicht berücksichtigten Auslagen (z.B. für Medikamente und gelegentlichen Beizug von Hilfskräften) zu rechnen hat. Die Heirat mit Brägger, bei dem sie schon vorher gelebt hatte, verbesserte die Lage der Klägerin in keiner Weise, da Brägger seit einiger Zeit selber arbeitsunfähig und auf Armenunterstützung angewiesen war. Unter diesen Umständen konnte die Vorinstanz ohne Verstoss gegen das Bundesrecht oder einen berufungsrechtlich diesem gleichzustellenden Erfahrungssatz annehmen, zum Lebensunterhalt der Klägerin sei ein Betrag von Fr. 350.-- pro Monat erforderlich. Dass die Beklagte, die nach ihren eigenen Angaben infolge Erbgangs über ein Vermögen von ungefähr Fr. 650'000.-- und entsprechende Einnahmen verfügt, sich auch bei Leistung von Beiträgen in dieser Höhe die Lebenshaltung einer wohlhabenden Person gestatten kann, bedarf keiner nähern Begründung.</w:t>
      </w:r>
    </w:p>
    <w:p>
      <w:r>
        <w:rPr>
          <w:b/>
        </w:rPr>
        <w:t>E. 2</w:t>
      </w:r>
    </w:p>
    <w:p>
      <w:r>
        <w:t>Der Bruder der Parteien besitzt nach den Feststellungen der Vorinstanz kein Vermögen und verdient als Prokurist einer angesehenen Firma monatlich ca. BGE 83 II 7 S. 11 Fr. 1180.--. Im Falle BGE 82 II 197 hat das Bundesgericht das Vorliegen günstiger Verhältnisse im Sinne von Art. 329 Abs. 2 ZGB verneint bei einem verheirateten städtischen Beamten, der ein Vermögen von Fr. 13 000.-- versteuerte und ein Monatseinkommen von netto Fr. 968.55 bezog. Der Bruder der Parteien verdient rund Fr. 210.-- monatlich mehr. Die Vorinstanz nimmt aber als erwiesen an, dass er zufolge Kränklichkeit seiner Ehefrau besonders hohe Auslagen habe, und ausserdem zieht sie mit Recht in Betracht, dass er als Prokurist eines Privatunternehmens mehr Repräsentationskosten habe als "ein städtischer Beamter in jedenfalls nicht übergeordneter Stellung". Unter diesen Umständen kann nicht gesagt werden, er lebe in merklich bessern Verhältnissen als jener Beamte. Mit ihrer Annahme, dass er sich im Sinne von Art. 329 Abs. 2 nicht in günstigen Verhältnissen, d.h. im Wohlstand, befinde, hat also die Vorinstanz das ihr zustehende Ermessen nicht überschritten. Ihr Entscheid ist in diesem Punkte um so weniger zu beanstanden, als aus dem Grundsatze, dass mehrere Pflichtige die Unterstützungslast im Verhältnis ihrer Leistungsfähigkeit zu tragen haben ( BGE 59 II 6 ), zu schliessen ist, dass ein Pflichtiger, dessen grundsätzliche Leistungsfähigkeit auf jeden Fall zweifelhaft ist, dann gänzlich entlastet werden darf, wenn ein anderer sich in weit bessern Verhältnissen befindet und die nötige Unterstützung ohne Schwierigkeit allein aufzubringen vermag. So verhält es sich hier, da die Beklagte, die abgesehen von der Klägerin nur für sich selber zu sorgen hat, nicht nur im Wohlstande lebt, sondern geradezu über Reichtum verfügt.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