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53</w:t>
      </w:r>
    </w:p>
    <w:p>
      <w:r>
        <w:t>Bundesgericht (BGE), 1957-01-01, DE</w:t>
      </w:r>
    </w:p>
    <w:p>
      <w:r>
        <w:rPr>
          <w:b/>
        </w:rPr>
        <w:t xml:space="preserve">Quelle: </w:t>
      </w:r>
      <w:r>
        <w:t>https://mcp.opencaselaw.ch/entscheid/bge_BGE_83_II_53</w:t>
      </w:r>
    </w:p>
    <w:p>
      <w:r>
        <w:t>FR: ATF 83 II 53</w:t>
      </w:r>
    </w:p>
    <w:p>
      <w:r>
        <w:t>IT: DTF 83 II 53</w:t>
      </w:r>
    </w:p>
    <w:p>
      <w:pPr>
        <w:pStyle w:val="Heading2"/>
      </w:pPr>
      <w:r>
        <w:t>Regeste</w:t>
      </w:r>
    </w:p>
    <w:p>
      <w:r>
        <w:t>Regeste 1. Art. 55 Abs. 1 lit. b OG. Wann genügt der Berufungsantrag auf Rückweisung der Sache? (Erw. 1). 2. Art. 753, 827 OR. Die Gesellschaft mit beschränkter Haftung kann aus Tatsachen, die allen Gründern bei der Gründung bekannt waren, keinen Schadenersatzanspruch gegen die Gründer ableiten (Erw. 2).</w:t>
      </w:r>
    </w:p>
    <w:p>
      <w:r>
        <w:t>Regeste 1. Art. 55 al. 1 litt. b OJ. Quand suffit-il que le recourant conclue au renvoi de la cause à la juridiction cantonale? (consid. 1). 2. Art. 753 et 827 CO. La société à responsabilité limitée ne peut réclamer des dommages-intérêts aux fondateurs en raison de faits que tous les fondateurs connaissaient lors de la fondation (consid. 2).</w:t>
      </w:r>
    </w:p>
    <w:p>
      <w:r>
        <w:t>Regesto 1. Art. 55 cp. 1 lett. b O G. Quando basta che il ricorrente concluda per il rinvio della causa alla giurisdizione cantonale? (consid. 1). 2. Art. 753 e 827 CO. La società a garanzia limitata non può chiedere ai fondatori il risarcimento di danni a dipendenza di fatti che al momento della fondazione erano a conoscenza di tutti i fondatori.</w:t>
      </w:r>
    </w:p>
    <w:p>
      <w:pPr>
        <w:pStyle w:val="Heading2"/>
      </w:pPr>
      <w:r>
        <w:t>Erwägungen</w:t>
      </w:r>
    </w:p>
    <w:p>
      <w:r>
        <w:rPr>
          <w:b/>
        </w:rPr>
        <w:t>E. 1</w:t>
      </w:r>
    </w:p>
    <w:p>
      <w:r>
        <w:t>Wenn die Schadenersatzpflicht des Beklagten gegenüber der Klägerin für sein Verhalten als Gründer zu bejahen wäre, müsste die Sache zur Feststellung des Schadens an den Appellationshof zurückgewiesen werden. Unter diesen Umständen genügt der Rückweisungsantrag BGE 83 II 53 S. 56 der Klägerin den Anforderungen, die Art. 55 Abs. 1 lit. b OG an die Anträge der Berufungsschrift stellt ( BGE 71 II 186 , BGE 75 II 230 ; vgl. auch BGE 81 III 91 ).</w:t>
      </w:r>
    </w:p>
    <w:p>
      <w:r>
        <w:rPr>
          <w:b/>
        </w:rPr>
        <w:t>E. 2</w:t>
      </w:r>
    </w:p>
    <w:p>
      <w:r>
        <w:t>Die bei der Gründung einer Gesellschaft mit beschränkter Haftung beteiligten Personen sind für ihre Handlungen und Unterlassungen nach den Bestimmungen des Aktienrechts verantwortlich ( Art. 827 OR ). Sie werden demnach der Gesellschaft, den einzelnen Gesellschaftern und den Gesellschaftsgläubigern unter anderem dann schadenersatzpflichtig, wenn sie absichtlich oder fahrrlässig dazu beitragen, dass Sacheinlagen in den Statuten oder in einem Gründerbericht unrichtig oder unvollständig angegeben werden oder die Eintragung der Gesellschaft in das Handelsregister auf Grund einer Bescheinigung oder Urkunde erfolgt, die unrichtige Angaben enthält ( Art. 753 Ziff. 1 und 2 OR ). Die Haftung gegenüber der Gesellschaft besteht aber nicht, wenn diese mit den Handlungen oder Unterlassungen, die sie dem Gründer vorwirft, aus freiem Entschlusse einverstanden gewesen ist. Die Gesellschaft mit beschränkter Haftung kann, wie jede andere handlungsfähige juristische oder natürliche Person, in eine Minderung ihres Vermögens oder in das Ausbleiben einer Vermögensvermehrung einwilligen. Insbesondere verbietet ihr das Gesetz nicht, auf Anrechnung an ihr Stammkapital Sacheinlagen anzunehmen, von denen sie weiss, dass sie den ihnen durch die Statuten, die Gründungsurkunde und den Übernahmevertrag beigemessenen Wert nicht haben. Wer, ohne durch Irrtum, Täuschung oder Furcht beeinflusst zu sein, einer Handlung zustimmt, deren Auswirkung auf sein Vermögen ihm in jeder Beziehung bekannt ist, erlangt nach bewährter Lehre keinen Schadenersatzanspruch (volenti non fit injuria). In dieser Lage befindet sich die Klägerin. Sie hat notwendigerweise das gleiche gewusst und gewollt wie ihrre zwei einzigen Gesellschafter Heggendorn und Weissberg, die zusammen ihr oberstes Organ waren ( Art. 808 Abs. 1 OR ) und gemeinsam ihre Geschäfte führten ( Art. 811 BGE 83 II 53 S. 57 Abs. 1 OR ). Dass die Klägerin Persönlichkeit erst durch die Eintragung in das Handelsregister erlangt hat ( Art. 783 Abs. 1 OR ), die unwahre Bilanz, die Statuten, die Gründungsurkunde und der Übernahmevertrag jedoch vorher aufgestellt worden sind, ändert nichts. Denn die beiden Gesellschafter haben im Zeitpunkt der Entstehung der Klägerin nichts anderes wollen können als vorher. Nicht nur der Beklagte, sondern auch Weissberg wusste und billigte damals, dass das mit Aktiven und Passiven als Sacheinlage übernommene Geschäft des Beklagten ein überbewertetes Warenlager und gewisse in Inventar und Bilanz vom 30. April 1951 unterdrückte Schulden enthielt, welche die Klägerin werde tilgen müssen, und zwar waren beiden Gesellschaftern alle Tatsachen, aus denen die Klägerin Ansprüche ableitet, schon damals bekannt. Der Beklagte ist daher der Klägerin nicht zu Schadenersatz verpflichtet. Daran vermag der Umstand, dass die Gesellschaftsanteile seit der Gründung in andere Hände übergegangen sind, nichts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