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427</w:t>
      </w:r>
    </w:p>
    <w:p>
      <w:r>
        <w:t>Bundesgericht (BGE), 1957-01-01, DE</w:t>
      </w:r>
    </w:p>
    <w:p>
      <w:r>
        <w:rPr>
          <w:b/>
        </w:rPr>
        <w:t xml:space="preserve">Quelle: </w:t>
      </w:r>
      <w:r>
        <w:t>https://mcp.opencaselaw.ch/entscheid/bge_BGE_83_II_427</w:t>
      </w:r>
    </w:p>
    <w:p>
      <w:r>
        <w:t>FR: ATF 83 II 427</w:t>
      </w:r>
    </w:p>
    <w:p>
      <w:r>
        <w:t>IT: DTF 83 II 427</w:t>
      </w:r>
    </w:p>
    <w:p>
      <w:pPr>
        <w:pStyle w:val="Heading2"/>
      </w:pPr>
      <w:r>
        <w:t>Regeste</w:t>
      </w:r>
    </w:p>
    <w:p>
      <w:r>
        <w:t>Regeste 1. Auslegung eines Testaments. a) Grundsätze hiefür. b) Nachverfügung und Ersatzverfügung (Vermächtnis, Erbeinsetzung, Art. 487, 488 ZGB). 2. 2. Verzugszinsanspruch des Vermächtnisnehmers (bzw. seiner Erben) gegen den Testamentserben; er kann geltend gemacht werden a) gegen den vermächtnisbeschwerten Erben, auch wenn die Erbschaft vom Willensvollstrecker verwaltet wird, sowohl mit Feststellungs- als mit Leistungsklage, b) vom Zeitpunkt der Fälligkeit des Vermächtnisses an (Art. 562 Abs. 2 ZGB), jedenfalls von der Mahnung an (Art. 102 OR); c) auch bloss von einem Teil der Erben des Vermächtnisnehmers. d) Die Sperre seitens der Schweiz. Verrechnungsstelle gegenüber diesen steht der Inverzugsetzung nicht entgegen.</w:t>
      </w:r>
    </w:p>
    <w:p>
      <w:r>
        <w:t>Regeste 1. Interprétation d'un testament. a) Principes. b) Substitution fidéicommissaire et substitution vulgaire (legs, institution d'héritier, art. 487, 488 CC). 2. Prétention à des intérêts moratoires du légataire (ou de ses héritiers) contre l'héritier testamentaire; elle peut être exercée a) contre l'héritier qui doit le legs, par une action en constatation de droit ou une action en prestation, même si la succession est gérée par l'exécuteur testamentaire, b) depuis le moment de l'exigibilité du legs (art. 562 al. 2 CC), en tout cas depuis la mise en demeure (art. 102 CO), c) par une partie seulement des héritiers du légataire. d) Les mesures de blocage ordonnées par l'Office suisse de compensation n'empêchent pas la mise en demeure.</w:t>
      </w:r>
    </w:p>
    <w:p>
      <w:r>
        <w:t>Regesto 1. Interpretazione di un testamento. a) Norme d'interpretazione. b) Sostituzione fidecommissaria e sostituzione volgare (legato, istituzione d'erede, art. 487 e 488 CC). 2. Pretesa a interessi moratori del legatario (o dei suoi eredi) contro l'erede testamentario; essa pu òessere fatta valere a) contro l'erede che deve il legato, anche quando la successione sia amministrata da un esecutore testamentario, mediante azione d'accertamento o azione di condanna, b) dal momento in cui il legato diventa esigibile (art. 562 cp. 2 CC), in ogni modo a contare dalla costituzione in mora (art. 102 CC), c) anche da solo una parte degli eredi del legatario. d) Il blocco ordinato dall'Ufficio svizzero di compensazione non impedisce la costituzione in mora.</w:t>
      </w:r>
    </w:p>
    <w:p>
      <w:pPr>
        <w:pStyle w:val="Heading2"/>
      </w:pPr>
      <w:r>
        <w:t>Erwägungen</w:t>
      </w:r>
    </w:p>
    <w:p>
      <w:r>
        <w:rPr>
          <w:b/>
        </w:rPr>
        <w:t>E. 1</w:t>
      </w:r>
    </w:p>
    <w:p>
      <w:r>
        <w:t>a) Bei seiner Beurteilung der Tragweite der allein noch streitigen Ziff. 2 des Nachtrages hat sich das Obergericht an die richtigen, von ihm zutreffend umschriebenen Grundsätze und Richtlinien gehalten. Für die Auslegung eines Testamentes ist vom Wortlaut desselben auszugehen. Der Text verkörpert allein den rechtsgültigen letzten Willen des Erblassers. Wenn der Text des Testamentes, für sich betrachtet und aus sich selbst erklärt, klar ist, so hat es bei dieser Aussage zu bleiben; dann geht es nicht an, aus Elementen und Umständen, die im Testamente keinen Niederschlag gefunden haben, Rechtsfolgerungen zu ziehen und auf diese Weise etwas in dasselbe hineinzuinterpretieren, was nicht darin steht. Was der Erblasser allenfalls mit Bezug auf seinen Nachlass gedacht, gewünscht und sich vorgestellt hat, ist rechtlich nur insoweit relevant, als es im formbedürftigen Testament formgültig zum Ausdruck gelangt ist. Nur wenn Testamentsbestimmungen der Klarheit in dem Masse entbehren, dass sie ebensogut im einen wie im andern Sinne ausgelegt werden können, dürfen anderweitige Äusserungen des BGE 83 II 427 S. 436 Testators, Aussagen eines Beraters u. dgl. zur Interpretation herangezogen werden ( BGE 64 II 187 , BGE 69 II 382 , BGE 70 II 13 , BGE 72 II 232 , BGE 75 II 284 ; ESCHER, Vorbem. zum 14. Titel, N. 13, PICENONI, Auslegung von Testament und Erbvertrag, S. 46). Im vorliegenden Fall ist der Auffassung des Obergerichtes beizupflichten, dass der Wortlaut der Nachtragsbestimmung sowohl für sich als im Zusammenhang mit dem Testament als Ganzem betrachtet einen durchaus klaren und vernünftigen Sinn ergibt. b) In den die beiden Hauptbedachten, Theodora und Pia Leiber betreffenden Verfügungen des Haupttestamentes geht der Erblasser von der Voraussetzung aus, dass jene beiden ihn überleben werden. Dies geht - abgesehen von der allgemeinen Bedingung des Erlebens des Erbganges für Erben und Legatare gemäss Art. 542/3 ZGB - auch daraus hervor, dass der Testator beim Vermächtnis des Grundbesitzes an die beiden Legatarinnen den Art. 652 ZGB betr. Gesamteigentum erwähnt und nur gemeinsamen Verkauf erlaubt (Ziff. 3). Wo er den Fall ins Auge fasst, dass "das eine der Fräulein" stirbt und eine "Überlebende" vorhanden ist (Ziff. 2 i. f., Ziff. 3), ist immer nur an den Ablauf der Dinge gedacht, der angesichts des Alters der drei beteiligten Personen als der natürrliche erschien, nämlich dass die beiden Bedachten zunächst den Erblasser überleben werden und dann in der Folge eine von ihnen wegsterben werde. Diesen Fall sieht das Haupttestament vor und trifft Anordnungen dafür mit Bezug auf den Grundbesitz und den Erlös aus allfällig vorher verkauften Teilen desselben (Ziff. 3), sowie auf die "übrigen Mobilien" etc., die im Hause bleiben sollen (Ziff. 2 i. f.). Diese Anordnungen sind mithin Nachvermächtnisse ( Art. 488 Abs. 3 ZGB ). Nach der Niederschrift und Unterzeichnung dieses Testamentes kam es offenbar dem Erblasser oder seinem Berater in den Sinn, dass es mit dem Sterben nicht immer dem Alter nach geht. Er fügte daher eine "Ergänzung" BGE 83 II 427 S. 437 an, in welcher er den Fall ins Auge fasst, dass eine der beiden Bedachten vor ihm sterben würde. In diesem Falle sollten gemäss Ziff. 1 die Liegenschaften gänzlich der andern, überlebenden zufallen; "ebenso" gemäss Ziff. 2 der ganze Bestand an Kapitalien, Hausrat und persönlichen Effekten, über die der Testator nicht im Testament ausdrücklich verfügt hat. Damit stellt Ziff. 1 des Nachtrags ein Ersatzvermächtnis gegenüber Ziff. 1, 2 und 3 des Haupttestaments dar, eben für den Fall, dass das dort vorausgesetzte Überleben beider Legatarinnen (gegenüber dem Erblasser) nicht zur Tatsache würde, sondern die eine derselben vor dem Testator sterben sollte; und in Ziff. 2 des Nachtrags ist gegenüber den Bestimmungen bezüglich der nicht in Liegenschaften bestehenden Zuwendungen, insbesondere des Restvermögens (Ziff. 43), für den gleichen Fall - Tod der einen Haupterbin vor dem Erblasser - eine Ersatz-Erbeneinsetzung verfügt ( Art. 487 ZGB ). Bei unbefangener Lektüre dieser Bestimmungen kann keinem Zweifel unterliegen, dass die Nachtragsbestimmungen beide unter der gleichen Voraussetzung stehen, nämlich dass eine der beiden Hauptbedachten vor dem Erblasser sterben würde. Dies gilt für Ziff. 1, wo es ausdrücklich gesagt ist, aber ebenso klar auch für Ziff. 2. Dies ergibt sich, wie die Vorinstanz zutreffend ausführte, aus dem Eingangsworte "ebenso", das auf die unmittelbar vorausgehende Ziff. 1 zurückverweist und damit selbstverständlich auf die Hauptvoraussetzung dieser Bestimmung, das Vorversterben der einen Bedachten vor dem Erblasser. Es ergibt sich auch aus den Worten in Ziff. 2 "die Überlebende der beiden Fräulein Leiber", womit nach dem Zusammenhange das gleiche bezw. die gleiche gemeint ist wie mit dem genau gleichen Ausdruck in Ziff. 1, nämlich diejenige Bedachte, welche die andere überlebt, bevor der Erblasser stirbt. Freilich bedeutet der Begriff "die Überlebende der beiden Fräulein Leiber" an sich im ganzen Testament nur: diejenige, welche die andere überlebt; jedoch ist dieses Überleben im Nachtrag als BGE 83 II 427 S. 438 vor dem Tode des Erblassers, in Ziff. 2 i. f. und Ziff. 3 des Haupttestaments dagegen nach demselben gedacht, und insofern ist die Überlebenssituation beidemal eine andere. Fraglos ist die in Ziff. 2 des Nachtrags gemeinte Situation diejenige der unmittelbar vorhergehenden Ziff. 1, nicht die davon verschiedene fünf Seiten weiter vorn im Testament. Die Auffassung des Kantonsgerichts, man könne in Ziff. 2, ebensogut wie eine Bezugnahme auf Ziff. 1, eine Gleichstellung der Kapitalien mit den Liegenschaften sehen in dem Sinne, dass die Kapitalien überhaupt das Schicksal der Liegenschaften teilen sollen und zwar beim Tode einer der Bedachten sowohl vor als nach dem Erblasser, lässt sich nicht vertreten, ohne dass die Systematik des Haupttestamentes ihres Sinnes beraubt würde; denn dann wäre nicht einzusehen, wieso der Erblasser den Fall des Absterbens einer Legatarin nach ihm im Haupttestament ausführlich vorgesehen hätte, nämlich in Ziff. 3, aber hier das Nachvermächtnis ganz eindeutig nur für die Liegenschaften (und allfälligen Verkaufserlös aus solchen) angeordnet hätte. Dass anderseits Ziff. 2 in Verbindung mit Ziff. 1 des Nachtrags eine solche Gleichbehandlung von Liegenschaften und übrigem Vermögen in beiden Überlebenssituationen als gewollt erscheinen lasse, verträgt sich nicht nur nicht mit dem Wortlaut der Ziff. 1 ("vor mir sterben"); wollte man darin neben der klaren Ersatz- auch eine Nachverfügung erblicken, so läge darin bezüglich der Liegenschaften eine Wiederholung der bereits in Ziff. 3 viel präziser getroffenen Anordnung. Dann wäre wieder nicht erklärlich, wieso der Testator die Ziff. 3 so bestimmt auf die Liegenschaften beschränkt hätte. Nach Wortlaut und Systematik des Testamentes liegt mithin dem ganzen Nachtrag, sowohl Ziff. 2 als Ziff. 1, die Annahme zugrunde, dass die eine der Hauptbedachten vor dem Testator sterbe. Es kann daher offen bleiben, ob unter die in Ziff. 2 des Nachtrags erwähnten "Kapitalien..., über die ich nicht BGE 83 II 427 S. 439 ausdrücklich im Testament verfügt habe", das Legat von Fr. 180'000.-- fiele oder nicht. Angesichts des klaren und in sich widerspruchslosen Wortlautes des Testaments erübrigt es sich, auf Grund aussertestamentarischer Umstände und Zeugenaussagen nach einem davon abweichenden "wahren Willen des Erblassers" zu forschen. Die Feststellung der beiden Vorinstanzen, es müsse angenommen werden, dass der Testator tatsächlich den Willen hatte, bezüglich der Barvermächtnisse und der Restkapitalien ein gegenseitiges Nachvermächtnis bezw. eine Nacherbschaft anzuordnen, ist freilich für das Bundesgericht verbindlich. Sie ist aber ohne Belang; denn dieser Wille hat im Testament keinen Ausdruck gefunden. Die danach vorhandene Diskrepanz macht indessen das Testament nicht zu einem wegen Irrtums anfechtbaren oder richtigzustellenden. Weder hat sich der Testator über irgend einen für seine Anordnungen wesentlichen Sachverhalt im Irrtum befunden ( Art. 469 Abs. 1 ZGB ) noch im Testament eine Person oder Sache irrtümlich bezeichnet (Abs. 3; vgl. BGE 50 II 335 , BGE 64 II 190 , BGE 72 II 230 Erw. 2). Nachdem die Voraussetzung des ganzen Nachtrags - Versterben einer Bedachten vor dem Testator - nicht eingetreten ist, fällt der Nachtrag ausser Betracht, und die Ansprüche der beiden Bedachten am Nachlass Stokar richten sich ausschliesslich nach den Bestimmungen des Haupttestaments, namentlich den Ziff. 1, 2, 3 und 43. Eine Nachverfügung besteht somit nur gemäss Ziff. 2 i.f. ("übrige Mobilien" etc.) und Ziff. 3 (Liegenschaften), nicht aber mit Bezug auf die Barlegate von Fr. 180'000.-- und das Restvermögen gemäss Ziff. 43. Das Vermächtnis und die Restvermögenshälfte der Theodora Leiber fallen daher in deren Nachlass.</w:t>
      </w:r>
    </w:p>
    <w:p>
      <w:r>
        <w:rPr>
          <w:b/>
        </w:rPr>
        <w:t>E. 2</w:t>
      </w:r>
    </w:p>
    <w:p>
      <w:r>
        <w:t>Den Anspruch auf Verzugszins von 5/6 des Barvermächtnisses der Theodora Leiber haben die Kläger damit begründet, dass der Willensvollstrecker mit der BGE 83 II 427 S. 440 Auszahlung des Betrages von Fr. 150'000.-- in Verzug geraten sei. Die Vorinstanz hat den Anspruch geschützt mit der Begründung, das erbschaftssteuerfreie Barlegat sei an sich zur Auszahlung fällig, und anspruchsberechtigt sei die Erbengemeinschaft der Theodora Leiber; nachdem aber die Erben des Stammes Eduard Leiber (Pia und Geschwister) nicht gewillt gewesen seien, den Anspruch auf Auszahlung des Vermächtnisses gegenüber dem Willensvollstrecker geltend zu machen, seien die Kläger mindestens befugt, ihren quotalen Anteil herauszuverlangen. Ihr Anwalt habe den Anspruch bereits am 25. Juni 1954 und ein zweites Mal mit Schreiben vom 9. August 1954 an den Willensvollstrecker angemeldet; damit sei die Verzugsfolge ab 10. August 1954 eingetreten und der Verzugszins ab diesem Datum begründet. Die Berufungsklägerin erblickt hierin eine Verletzung der Bestimmung von Art. 602 ZGB . Sie macht geltend, bis zur Teilung bestehe zwischen sämtlichen Erben eine Erbengemeinschaft. Als Gesamteigentümer könnten die Erben über den Nachlass nur gemeinsam verfügen. Da die Kläger nur 5/6 der Erbengemeinschaft verträten, seien sie vor der Teilung nicht herausgabeberechtigt; bis zu diesem Zeitpunkte seien auch die - noch streitigen - Erbteile noch nicht in ihrem Umfange festgestellt und könnten darum nicht fällig sein. Ein Anspruch auf Herausgabe und damit eine Inverzugsetzung des Besitzers des Nachlasses sei darum erst nach erfolgter Teilung möglich. Zudem müsste ein solcher Anspruch sich nicht gegen die Beklagte richten, sondern gegen den Willensvollstrecker, welcher allein die Verfügungsgewalt über den Nachlass Stokar besitze. Übrigens unterlägen die Nachlässe Stokar und Theodora Leiber nach wie vor der Sperre der Schweizerischen Verrechnungsstelle; solange keine Bewilligung zur Auszahlung vorliege, sei ein Verzug des Willensvollstreckers wie der Beklagten ausgeschlossen. Die Zusprechung von Verzugszinsen widerspreche überdies der vom Obergerichte vertretenen Auffassung, dass die vorliegende BGE 83 II 427 S. 441 Klage eine blosse Feststellungsklage sei; nur bei einer vom Obergerichte ausgeschlossenen Erbschaftsklage wären solche möglich. a) Die Vorinstanz hat indessen auch mit Bezug auf dieses Rechtsbegehren betr. Verzugszinse den Charakter als Feststellungsklage betont und die Gutheissung desselben im Dispositiv 5 lit. c auch nur in der Form einer Feststellung, nicht etwa einer Verpflichtung der Beklagten zur Leistung, ausgesprochen. Deshalb ist auch der Einwand, die Klage hätte sich gegen den Willensvollstrecker als Besitzer des Nachlasses richten sollen, unbehelflich. Übrigens wäre der Einwand auch gegenüber einer Forderungsklage nicht zu schützen. Auch wenn sich die beklagte Erbin nicht im Besitze der Erbschaft befindet, sondern diese vom Willensvollstrecker verwaltet wird, ist doch sie die mit den Legaten Beschwerte und haftet, da sie die Erbschaft angetreten hat, für deren Ausrichtung. Die Legatare haben einen persönlichen Anspruch hierauf ( Art. 562 Abs. 1 ZGB ) und sind Gläubiger hiefür (Vgl. BGE 59 II 122 E. 1; BGE 69 II 384 E. 4; SJZ 14, S. 88 Nr. 67). b) Dieser Anspruch wird gemäss Art. 562 Abs. 2 ZGB fällig, sobald der Beschwerte die Erbschaft angenommen hat oder sie nicht mehr ausschlagen kann, was in casu längst (seit 1946) der Fall ist. Schon mit diesem Zeitpunkte war ein bestimmter Verfalltag gegeben, der nach Analogie von Art. 102 Abs. 2 OR in Verbindung mit Art. 7 ZGB ohne weitere Mahnung den Verzug der Beschwerten herbeiführte; jedenfalls aber sind Verzugszmse spätestens von der Mahnung an zu bezahlen (TUOR, zu Art. 562 N. 10). Eine solche hat, nach Feststellung der Vorinstanz, der Anwalt der Kläger am 9. August 1954 erlassen, sodass spätestens vom 10. August 1954 an der Anspruch auf Verzugszinsen besteht. Dem stände es auch nicht entgegen, wenn der Anspruch auf das Legat noch nicht liquid wäre und erst später definitiv festgestellt werden könnte (vgl. BECKER, zu Art. 102 OR , N. 27). BGE 83 II 427 S. 442 c) Der Umstand, dass das Vermächtnis der Theodora Leiber ihrer ganzen Erbengemeinschaft von sechs Geschwisterstämmen zusteht, kann der Klage der bloss fünf Stämme nicht entgegengehalten werden. Wenn ein Miterbe aus einer Erbengemeinschaft darauf verzichtet, eine Mahnung zu erlassen, so kann dies die übrigen nicht hindern, es für ihre Anteile zu tun; denn darin liegt nicht eine "Verfügung" über die Erbschaftssache (das Legat der Theodora Leiber), für die es des gemeinsamen Handelns aller bedürfte ( Art. 602 Abs. 2 ZGB ). d) Ebensowenig stand die Sperre seitens der Schweiz. Verrechnungsstelle der Inverzugsetzung entgegen. Es handelt sich dabei nicht um ein absolutes behördliches Zahlungsverbot. Vielmehr hätten Zahlungen zu gunsten der Erben der Theodora Leiber jederzeit auf Konto Zahlungssperre bei der Schweizerischen Nationalbank erfolgen können (Art. 1 BRB vom 27. April 1945, AS 61, S. 267), oder mit Genehmigung der Schweizerischen Verrechnungsstelle auf andere Weise (Art. 7 BRB vom 16. Februar 1945, AS 61, S. 85), wie z.B. auf ein gesperrtes Konto bei einer andern schweizerischen Bank (Art. 4 Verfügung des EPD vom 27. Juni 1947, AS 63, S. 787), und einer solchen Zahlung zugunsten deutscher Gläubiger wäre zivilrechtlich befreiende Wirkung zugekommen (Art. 11 Abs. 3 BRB vom 6. März 1953, AS 1953, S. 137), die Schuldnerin somit nicht in Verzug geraten. e) Schliesslich liegt den gesetzlichen Bestimmungen über die Verzugszinsen der Gedanke zu Grunde, dass derjenige, der eine fällige Schuld nicht zahlt, also Geld zurückhält, mit diesem unterdessen arbeiten könne, aber dem Gläubiger verunmögliche, dies zu tun, weshalb diesem in Gestalt des Verzugszinses ein Schadenersatz gebühre. Im vorliegenden Falle wäre es stossend, wenn die Erben der Legatarin mehr als elf Jahre nach dem Tode des Erblassers das Legat im damaligen Wert annehmen müssten, während das Geld doch offenbar inzwischen irgendwo zugunsten der beschwerten Erbin am Zins lag. BGE 83 II 427 S. 443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