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83 II 41</w:t>
      </w:r>
    </w:p>
    <w:p>
      <w:r>
        <w:t>Bundesgericht (BGE), 1957-01-01, DE</w:t>
      </w:r>
    </w:p>
    <w:p>
      <w:r>
        <w:rPr>
          <w:b/>
        </w:rPr>
        <w:t xml:space="preserve">Quelle: </w:t>
      </w:r>
      <w:r>
        <w:t>https://mcp.opencaselaw.ch/entscheid/bge_BGE_83_II_41</w:t>
      </w:r>
    </w:p>
    <w:p>
      <w:r>
        <w:t>FR: ATF 83 II 41</w:t>
      </w:r>
    </w:p>
    <w:p>
      <w:r>
        <w:t>IT: DTF 83 II 41</w:t>
      </w:r>
    </w:p>
    <w:p>
      <w:pPr>
        <w:pStyle w:val="Heading2"/>
      </w:pPr>
      <w:r>
        <w:t>Regeste</w:t>
      </w:r>
    </w:p>
    <w:p>
      <w:r>
        <w:t>Regeste 1. Internationales Privatrecht. Welches Recht ist auf die Verjährung anwendbar? (Erw. 1). 2. Art. 591 Abs. 1 OR. a) Die Veröffentlichung der Auflösung der Gesellschaft im Schweizerischen Handelsamtsblatt setzt die Verjährung gegen die Gesellschafter nur in Gang, wenn der Veröffentlichung eine gültige Eintragung im Handelsregister zugrunde liegt (Erw. 3). b) Art. 591 Abs. 1 schneidet dem Gesellschafter die Einreden aus Art. 127 ff. OR, die der Forderung als solcher entgegen3. Argehalten werden können, nicht ab (Erw. 4). 3. Art. 135 Ziff. 2 OR. Das Betreibungsbegehren unterbricht die Verjährung auch dann, wenn der Zahlungsbefehl am unrichtigen Ort ergeht, der Schuldner sich aber nicht dagegen beschwert (Erw. 5). 4. Art. 136, 593 OR. Die gegen die Kollektivgesellschaft wirkende Unterbrechung der Verjährung wirkt auch gegen die nicht ausgeschiedenen Gesellschafter (Erw. 6).</w:t>
      </w:r>
    </w:p>
    <w:p>
      <w:r>
        <w:t>Regeste 1. Droit international privé. Au regard de quel droit faut-il statuer sur la question de la prescription? (consid. 1). 2. Art. 591 al. 1 CO. a) Le délai de prescription de l'action dirigée contre les associés ne court de la publication de la dissolution de la société dans la Feuille officielle suisse du commerce que si cette publication est fondée sur une inscription valable au registre du commerce (consid. 3). b) L'art. 591 al. 1 ne prive pas l'associé des exceptions qui peuvent être opposées à la créance elle-même en vertu des art. 127 et suiv. CO (consid. 4). 3. Art. 135 ch. 2 CO. La poursuite interrompt la prescription même si le commandement de payer a été notifié par un office incompétent, à moins que cet acte ne soit annulé sur plainte du débiteur (consid. 5). 4. Art. 136 et 593 CO. Lorsque la prescription est interrompue à l'égard de la société en nom collectif, elle l'est également envers les associés qui n'en sont pas sortis (consid. 6).</w:t>
      </w:r>
    </w:p>
    <w:p>
      <w:r>
        <w:t>Regesto 1. Diritto internazionale privato. Quale diritto è applicabile in materia di prescrizione? (consid. 1). 2. Art. 591 cp. 1 CO. a) Il termine di prescrizione dell'azione promossa contro i soci decorre dalla pubblicazione dello scioglimento della società nel Foglio ufficiale svizzero di commercio soltanto se questa pubblicazione è fondata su una iscrizione valida nel registro di commercio (consid. 3). b) L'art. 591 cp. 1 CO non priva il socio delle eccezioni che possono essere opposte al credito medesimo a norma degli art. 127 sgg. CO (consid. 4). 3. Art. 135 num. 2 CO. L'esecuzione interrompe la prescrizione anche se il precetto esecutivo è stato notificato da un ufficio incompetente, semprechè detto atto non sia annullato su reclamo del debitore (consid. 5). 4. Art. 136 e 593 CO. Quando la prescrizione è interrotta nei confronti della società in nome collettivo, essa lo è ugualmente nei confronti dei soci che non ne sono usciti (consid. 6).</w:t>
      </w:r>
    </w:p>
    <w:p>
      <w:pPr>
        <w:pStyle w:val="Heading2"/>
      </w:pPr>
      <w:r>
        <w:t>Erwägungen</w:t>
      </w:r>
    </w:p>
    <w:p>
      <w:r>
        <w:rPr>
          <w:b/>
        </w:rPr>
        <w:t>E. 1</w:t>
      </w:r>
    </w:p>
    <w:p>
      <w:r>
        <w:t>Nach ständiger Rechtsprechung des Bundesgerichts bestimmt jenes Recht, dem der Vertrag untersteht, ob der aus ihm abgeleitete Anspruch verjährt sei (BGE 12 682, 38 II 360, 59 II 358, 66 II 236, 72 II 414, 75 II 61, 78 II 148). Im vorliegenden Falle ist es das schweizerische Recht, dem die Kollektivgesellschaft C. Reinhardt &amp; Cie und die Eheleute Goetz das Darlehensverhältnis durch Art. 9 Abs. 2 des Vertrages vom 1. Januar 1925 unterstellt haben. Auch soweit die Verjährung von der Auflösung der Gesellschaft abhängt, gilt schweizerisches Recht, das die Gesellschafter durch Art. 10 des Gesellschaftsvertrages vom 19. Dezember 1919 und den Nachtrag vom 16. August 1922 anwendbar erklärt haben. Unerheblich ist, dass die Gesellschafter durch den Nachtragsvertrag die Hauptniederlassung der Gesellschaft nach Addis Abeba verlegt und in der Schweiz keine Zweigniederlassung beibehalten haben. Art. 4 Abs. 2 des Darlehensvertrages nimmt Bezug darauf, dass das Gesellschaftsverhältnis dem schweizerischen Recht unterstehe. Damit anerkannte die Borgerin, dass auch im Verhältnis zu den Darlehensgebern die Frage der Auflösung der Gesellschaft nach schweizerischem Recht zu beurteilen sei. Die Parteien machen der Vorinstanz denn auch keinen Vorwurf daraus, dass sie den Streit in jeder Beziehung nach schweizerischem Recht beurteilt hat.</w:t>
      </w:r>
    </w:p>
    <w:p>
      <w:r>
        <w:rPr>
          <w:b/>
        </w:rPr>
        <w:t>E. 2</w:t>
      </w:r>
    </w:p>
    <w:p>
      <w:r>
        <w:t>-- Der Gesellschafter haftet für alle Verbindlichkeiten der Kollektivgesellschaft mit seinem ganzen Vermögen, kann aber, solange weder er selbst in Konkurs geraten, noch die Gesellschaft aufgelöst oder erfolglos betrieben worden ist, für Gesellschaftsschulden nicht persönlich belangt werden ( Art. 568 OR ). BGE 83 II 41 S. 48 Die Kollektivgesellschaft C. Reinhardt &amp; Cie ist spätestens mit dem Tode des Carl Reinhardt, am 5. Juli 1942, aufgelöst worden. Der Beklagte, der die Erbschaft unter öffentlichem Inventar angenommen hat, kann daher für die vom Kläger behauptete Gesellschaftsschuld belangt werden. Immerhin kann das nur unter den Voraussetzungen des Art. 590 Abs. 2 ZGB geschehen, da die Schuld in das Inventar nicht aufgenommen worden ist. Ob diese Voraussetzungen erfüllt sind, steht noch dahin.</w:t>
      </w:r>
    </w:p>
    <w:p>
      <w:r>
        <w:rPr>
          <w:b/>
        </w:rPr>
        <w:t>E. 3</w:t>
      </w:r>
    </w:p>
    <w:p>
      <w:r>
        <w:t>Für Forderungen von Gesellschaftsgläubigern gegen einen Gesellschafter aus Verbindlichkeiten der Kollektivgesellschaft sieht Art. 591 OR eine besondere Verjährungsfrist vor. Sie dauert fünf Jahre und beginnt im Zeitpunkt, da die Auflösung der Gesellschaft (oder das Ausscheiden des Gesellschafters) im Schweizerischen Handelsamtsblatt veröffentlicht wird (Abs. 1), es wäre denn, die Forderung werde erst später fällig (Abs. 2). Unter der Veröffentlichung im Schweizerischen Handelsamtsblatt versteht Art. 591 die amtliche Veröffentlichung der Eintragung im Handelsregister gemäss Art. 931 OR . Das ergibt sich daraus, dass Art. 586 a OR die Verjährung mit dem Zeitpunkt beginnen liess, in dem die Auflösung der Gesellschaft in das Handelsregister eingetragen wurde. Der Zweck der Revision erschöpfte sich darin, die Bestimmung dem Art. 932 Abs. 2 OR anzupassen, wonach gegenüber Dritten nicht schon die Eintragung im Handelsregister, sondern erst deren Veröffentlichung im Handelsamtsblatt Wirkungen auslöst. Art. 591 Abs. 1 OR setzt daher ausser der Veröffentlichung eine gültige Eintragung im Handelsregister voraus. Die Veröffentlichung heilt das Fehlen oder die Nichtigkeit der Eintragung nicht. Das Gesetz bestimmt nicht, dass alle Mitteilungen im Handelsamtsblatt, seien sie zu Recht oder zu Unrecht erfolgt, wirksam seien und als bekannt zu gelten hätten, sondern es verleiht der Veröffentlichung nur die Kraft, eine gültige Eintragung auch Dritten gegenüber wirksam zu machen ( Art. 932 Abs. 2 OR ), und nur BGE 83 II 41 S. 49 wenn diese Wirkung eintritt, schliesst es die Einwendung des Dritten aus, er habe die Eintragung nicht gekannt ( Art. 933 Abs. 1 OR ). Die Überlegung der Vorinstanz, Art. 591 Abs. 1 lasse die fünfjährige Verjährungsfrist mit der Veröffentlichung laufen, weil davon auszugehen sei, diese habe die Auflösung der Gesellschaft jedermann zur Kenntnis gebracht, trifft daher nicht zu, wenn der Veröffentlichung keine gültige Eintragung zu Grunde liegt. Ob die Gesellschaft wirklich aufgelöst worden ist und der Gläubiger die Veröffentlichung der zu Unrecht erfolgten Eintragung gelesen hat, ist unerheblich. Nicht die tatsächliche Kenntnis von der Auflösung der Gesellschaft, sondern nur die gültige Eintragung der Auflösung in Verbindung mit der nachfolgenden Veröffentlichung setzt die fünfjährige Verjährung in Gang. Die Auflösung der Gesellschaft C. Reinhardt &amp; Cie ist am 15. Juli 1946 im Schweizerischen Handelsamtsblatt veröffentlicht worden, aber auf Grund einer Eintragung, die der Regierungsrat des Kantons Bern am 14. Januar 1947 nichtig erklärt hat und die daher unwirksam ist. Die Veröffentlichung vom 15. Juli 1946 hat die Verjährung nach Art. 591 Abs. 1 OR nicht in Gang gesetzt.</w:t>
      </w:r>
    </w:p>
    <w:p>
      <w:r>
        <w:rPr>
          <w:b/>
        </w:rPr>
        <w:t>E. 4</w:t>
      </w:r>
    </w:p>
    <w:p>
      <w:r>
        <w:t>Art. 591 Abs. 1 OR will lediglich, dass der Gesellschafter, der ausgeschieden oder durch Auflösung der Gesellschaft belangbar geworden ist, sich durch eine besondere Einrede der Haftung für die Gesellschaftsschulden entschlagen könne. Die Bestimmung schneidet ihm die Einreden aus Art. 127 ff. OR , die der Forderung als solcher entgegengehalten werden können, nicht ab. Art. 591 Abs. 1 OR behält denn auch ausdrücklich den Fall vor, dass "wegen der Natur der Forderung eine kürzere Verjährungsfrist gilt". Ebenso kann der Gesellschafter sich auf eine Verjährungsfrist berufen, die fünf Jahre übersteigt, aber trotzdem vor jener des Art. 591 Abs. 1 abläuft, weil sie früher begonnen hat (HAFNER Art. 585 N. 8; HABERSTICH 408; SIEGWART Art. 591-593 N. 3). Ist die Forderung gegen die Gesellschaft verjährt, so steht auch dem BGE 83 II 41 S. 50 Gesellschafter die entsprechende Einrede zu, selbst wenn die Verjährung im Zeitpunkt seines Ausscheidens oder der Auflösung der Gesellschaft noch nicht abgelaufen war (HARTMANN Art. 568 N. 29).</w:t>
      </w:r>
    </w:p>
    <w:p>
      <w:r>
        <w:rPr>
          <w:b/>
        </w:rPr>
        <w:t>E. 5</w:t>
      </w:r>
    </w:p>
    <w:p>
      <w:r>
        <w:t>Alle Forderungen, für die das Bundeszivilrecht nicht etwas anderes bestimmt, verjähren mit Ablauf von zehn Jahren ( Art. 127 OR ). Diese Frist gilt für die Forderung des Klägers gegen die Gesellschaft C. Reinhardt &amp; Cie. Sollte die Forderung, wie die Vorinstanz annimmt, gemäss Art. 9 Abs. 1 des Vertrages vom 1. Januar 1925 am 30. Juni 1929 wegen Hinfalles der Waldkonzession fällig geworden sein, so wäre die damit in Gang gesetzte Verjährung ( Art. 130 Abs. 1 OR ) zunächst am 2. Februar 1930 und dann am 10. März 1937 durch die im Namen der Gesellschaft erfolgten Zinszahlungen unterbrochen worden ( Art. 135 Ziff. 1 OR ). Unterbrochen wurde die Verjährung, gleichgültig, ob sie schon am 30. Juni 1929 oder erst mit dem Tod des Carl Reinhardt am 5. Juli 1942 begonnen habe, auch durch das Betreibungsbegehren, das Jeanne Goetz-Kessel im September 1946 gegen die Firma C. Reinhardt &amp; Cie in Liq. stellte. Zwar hatte die Gesellschaft in Bern schon seit 1922 keine Niederlassung und daher auch keinen Betreibungsort mehr. Ein am unzuständigen Ort ergangener Zahlungsbefehl ist aber nicht nichtig ( BGE 68 III 35 , BGE 79 III 15 ). Wenn er dem Schuldner zugestellt und nicht auf Beschwerde hin aufgehoben wird, ist er gültig und daher die Verjährung durch das Betreibungsbegehren unterbrochen ( BGE 69 II 172 ff.; vgl. auchBGE 71 II 155). Das trifft hier zu. Der Liquidator der Gesellschaft hat gegen den Zahlungsbefehl nicht Beschwerde geführt, sondern nur Rechtsvorschlag erhoben.</w:t>
      </w:r>
    </w:p>
    <w:p>
      <w:r>
        <w:rPr>
          <w:b/>
        </w:rPr>
        <w:t>E. 6</w:t>
      </w:r>
    </w:p>
    <w:p>
      <w:r>
        <w:t>Gemäss Art. 593 OR vermag die Unterbrechung der Verjährung gegenüber der fortbestehenden Gesellschaft oder einem andern Gesellschafter die Verjährung gegenüber einem ausgeschiedenen Gesellschafter nicht zu unterbrechen. Aus dieser nur zugunsten des ausgeschiedenen Gesellschafters aufgestellten Bestimmung ergibt sich, dass BGE 83 II 41 S. 51 die gegen die Gesellschaft wirkenden Unterbrechungsgründe auch die Verjährung gegen die nicht ausgeschiedenen Gesellschafter unterbrechen. Das war schon in der Literatur zu Art. 155 und 588 aoR anerkannt und ist auch heute vorherrschende Lehrmeinung (HAFNER Art. 588 Anm. 5; HABERSTICH 409 f.; SCHNEIDER/FICK 2. Aufl. Art. 588 N. 1; ROSSEL 248; ZELLER Art. 588 N. 2; WIELAND, Handelsrecht 633, 730; SIEGWART Art. 591-593 N. 4; MANGOLD, Die Verjährung der Haftung des Kollektivgesellschafters, Zürich 1947 22, 45; a. M. HARTMANN Art. 593 N. 3). Der Grundsatz entspricht der Natur der Kollektivgesellschaft und der Stellung des Gesellschafters zu ihren Verbindlichkeiten ( Art. 568 OR ). Die Gesellschaftsschulden sind für die Gesellschafter nicht fremde, sondern (gemeinsame) eigene Schulden ( BGE 39 I 298 , BGE 41 III 333 , BGE 42 III 39 , BGE 45 II 302 , BGE 71 II 40 ). Wird die Verjährung gegen die Gesellschaft unterbrochen, so geschieht es für eine Forderung, die gegen die Gesellschafter selbst gerichtet ist, wenn auch für sie zunächst nur in die den Gesellschaftern gemeinsam gehörenden Vermögenswerte und erst unter den Voraussetzungen des Art. 568 Abs. 3 OR auch in das persönliche Gut der Gesellschafter vollstreckt werden kann. Der Gesellschafter ist mit der Gesellschaftsschuld enger verbunden als der Solidarschuldner mit der Verbindlichkeit der Mitschuldner oder der Bürge mit der Verpflichtung des Hauptschuldners. Da Art. 136 OR die Unterbrechung der Verjährung gegen den Solidarschuldner und den Hauptschuldner auch zulasten der anderen Solidarschuldner bzw. des Bürgen wirken lässt ( Art. 136 Abs. 1 und 2 OR ), kann die Verjährung gegen den Kollektivgesellschafter nicht von den Unterbrechungshandlungen gegen die Gesellschaft, der er noch angehört, unberührt bleiben. Es wäre auch nicht zu verstehen, weshalb das Vorgehen gegen die Gesellschaft die Verjährung gegen den Gesellschafter nicht sollte unterbrechen können, während Handlungen gegen einen Mitgesellschafter nach Art. 136 Abs. 1 BGE 83 II 41 S. 52 in Verbindung mit Art. 568 Abs. 1 OR diese Wirkung zweifellos haben. Die Belangung der Gesellschaft berührt den Gesellschafter mehr als das Vorgehen gegen Mitgesellschafter, weil ihm deren Privatvermögen ferner steht als das Gesellschaftsvermögen. Er ist an den Aktiven der Gesellschaft auch noch während der Liquidation beteiligt und erhält nach deren Beendigung seinen Anteil heraus. Es rechtfertigt sich, ihn grundsätzlich auch hinsichtlich der Schulden das Schicksal der Gesellschaft bis zu Ende teilen zu lassen, in dem Sinne, dass, mit der in Art. 591 OR vorgesehenen Einschränkung, die Haftung mit seinem persönlichen Vermögen erst verjährt, wenn die Gesellschaftsschuld verjährt. Er befindet sich in anderer Lage als der Ausgeschiedene, dem die Sonderbehandlung nach Art. 593 OR zugute kommt, weil er an den Aktiven der Gesellschaft und der Geschäftsführung nicht mehr teilhat. Würde die Unterbrechung der Verjährung gegen die Gesellschaft gegen den ihr noch angehörenden Gesellschafter nicht wirken, so müssten die Gläubiger unter Umständen entgegen allgemeiner Übung noch vor der Liquidation des Gesellschaftsvermögens, selbst wenn es zur Deckung der Gesellschaftsschulden ausreicht, gegen die Gesellschafter vorgehen, und der Zahlende hätte auf die Mitgesellschafter Rückgriff zu nehmen. Mit diesem Umweg wäre dem Gesellschafter sowenig gedient wie dem Gläubiger. Das Begehren der Gläubigerin vom September 1946 um Betreibung der Gesellschaft C. Reinhardt &amp; Cie in Liq. hat somit die ordentliche Verjährungsfrist des Art. 127 OR auch gegen den Beklagten unterbrochen. In gleichem Sinne hätten die Zinszahlungen der Gesellschaft vom 2. Februar 1930 und 10. März 1937 gewirkt, wenn damals die Gesellschaft schon wegen Hinfalles der Waldkonzession aufgelöst gewesen und die Forderung fällig geworden sein sollte. Da die Verjährung auch seit September 1946 unterbrochen worden ist, nämlich im Januar 1952 durch die Vorladung des Beklagten zum amtlichen Sühneversuch BGE 83 II 41 S. 53 und nachher durch Einreichung der Klage, ist die Forderung nicht verjährt. Die Vorinstanz hat über die materiellen Einwendungen zu urteilen, die der Beklagte gegen seine Schuldpflicht erhoben hat.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