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291</w:t>
      </w:r>
    </w:p>
    <w:p>
      <w:r>
        <w:t>Bundesgericht (BGE), 1957-01-01, DE</w:t>
      </w:r>
    </w:p>
    <w:p>
      <w:r>
        <w:rPr>
          <w:b/>
        </w:rPr>
        <w:t xml:space="preserve">Quelle: </w:t>
      </w:r>
      <w:r>
        <w:t>https://mcp.opencaselaw.ch/entscheid/bge_BGE_83_II_291</w:t>
      </w:r>
    </w:p>
    <w:p>
      <w:r>
        <w:t>FR: ATF 83 II 291</w:t>
      </w:r>
    </w:p>
    <w:p>
      <w:r>
        <w:t>IT: DTF 83 II 291</w:t>
      </w:r>
    </w:p>
    <w:p>
      <w:pPr>
        <w:pStyle w:val="Heading2"/>
      </w:pPr>
      <w:r>
        <w:t>Regeste</w:t>
      </w:r>
    </w:p>
    <w:p>
      <w:r>
        <w:t>Regeste Aktiengesellschaft. Haftung für vor der Eintragung der A.-G. im Namen der Gesellschaft eingegangene Verpflichtungen, Art. 645 OR. Die Vorschrift gilt auch im Verhältnis zwischen Gründern.</w:t>
      </w:r>
    </w:p>
    <w:p>
      <w:r>
        <w:t>Regeste Société anonyme. Responsabilité pour les obligations assumées au nom de la société avant son inscription au registre du commerce, art. 645 CO. Cette disposition s'applique également entre fondateurs.</w:t>
      </w:r>
    </w:p>
    <w:p>
      <w:r>
        <w:t>Regesto Società anonima. Responsabilità per le obbligazioni contratte in nome della società prima della sua iscrizione nel registro di commercio, art. 645 CO. Tale disposto si applica pure ai promotori.</w:t>
      </w:r>
    </w:p>
    <w:p>
      <w:pPr>
        <w:pStyle w:val="Heading2"/>
      </w:pPr>
      <w:r>
        <w:t>Erwägungen</w:t>
      </w:r>
    </w:p>
    <w:p>
      <w:r>
        <w:rPr>
          <w:b/>
        </w:rPr>
        <w:t>E. 1</w:t>
      </w:r>
    </w:p>
    <w:p>
      <w:r>
        <w:t>In erster Linie ist zu prüfen, ob - unabhängig von der Qualifizierung der Verpflichtung der AG. gegenüber dem Kläger als Gründervorteil - die Voraussetzungen einer Haftung des Beklagten gemäss Art. 645 OR erfüllt sind. Trifft dies zu, so erübrigen sich nämlich Erörterungen darüber, ob die vom Beklagten mit dem Kläger abgeschlossenen BGE 83 II 291 S. 294 Verträge vom 7. Januar 1954 überhaupt der Ordnung des Art. 628 OR unterstehen.</w:t>
      </w:r>
    </w:p>
    <w:p>
      <w:r>
        <w:rPr>
          <w:b/>
        </w:rPr>
        <w:t>E. 2</w:t>
      </w:r>
    </w:p>
    <w:p>
      <w:r>
        <w:t>Wer vor der Eintragung einer AG. im Namen der Gesellschaft gehandelt hat, haftet nach Art. 645 Abs. 1 OR für die dabei begründeten Verpflichtungen persönlich. Die Ordnung bezweckt, einerseits ein Handeln der rechtlich noch nicht zur Entstehung gelangten AG. möglichst einzuschränken und anderseits den Vertragsgegner, der sich mit dem in ihrem Namen Handelnden einlässt, zu schützen ( BGE 49 II 192 f.). Der zuletzt genannte Schutzzweck wurde in BGE 63 II 298 ff. bestätigt und daraus abgeleitet, dass zu den persönlich Haftenden ausser den unmittelbar am Vertragsschluss beteiligten Personen auch diejenigen zu rechnen seien, mit deren Wissen und Willen jene das Geschäft namens der Gesellschaft abgeschlossen haben, dass sich also mit anderen Worten diese Haftung sowohl auf die direkt als die indirekt Handelnden erstrecke. In Weiterverfolgung dieses Gedanken wurde sodann in BGE 76 II 165 die Tragweite von Art. 645 OR dahin umschrieben, dass der durch diese Bestimmung begründeten strengen Haftung im Interesse der Rechtssicherheit jeder unterstellt werde, der als intellektueller Urheber von Rechtshandlungen anzusehen sei, welche für das werdende Gebilde vorgenommen werden. Art. 645 OR sieht somit zum Schutze dessen, der mit einer erst in Gründung befindlichen AG. in rechtsgeschäftliche Beziehung tritt, eine weitgezogene persönliche Haftung aller vor, die für die Gesellschaft irgendwie tätig geworden sind. Aus dem Zweckgedanken dieser Ordnung ergibt sich, dass sie auch im Verhältnis zwischen Gründern gelten muss. Schliesst ein Gründer mit einem anderen für die AG. ohne jeden Vorbehalt Verträge ab, die ihrem Inhalt nach weder mit dem Gründungsvorgang, noch mit dem Zweck der AG. notwendig zusammenhängen, sondern ebensogut mit einem Dritten eingegangen werden könnten, so hat der Handelnde gegenüber dem Mitgründer in gleicher Weise wie gegenüber einem aussenstehenden Vertragsgegner dafür einzustehen, dass die AG. die eingegangene BGE 83 II 291 S. 295 Verpflichtung erfüllt, sei es durch ihre Übernahme gemäss Art. 645 Abs. 2 OR , sei es durch ihre Aufnahme in die Statuten, wo eine solche nach Art. 628 OR erforderlich ist. Der Mitgründer, der Vertragspartner der künftigen AG. wird, darf sich wie jeder in gleicher Lage befindliche Dritte nach Treu und Glauben darauf verlassen, dass der im Namen der Gesellschaft Handelnde den erwähnten Obliegenheiten nachkommt. Es besteht kein Grund, den letzteren deswegen von der gesetzlichen Haftung nach Art. 645 OR zu befreien, weil auf der andern Seite ebenfalls ein Gründer beteiligt ist, zumal er es in der Hand hat, sich durch die Vereinbarung entsprechender Vorbehalte vor Risiken zu schützen.</w:t>
      </w:r>
    </w:p>
    <w:p>
      <w:r>
        <w:rPr>
          <w:b/>
        </w:rPr>
        <w:t>E. 3</w:t>
      </w:r>
    </w:p>
    <w:p>
      <w:r>
        <w:t>Nach diesen Grundsätzen sind im vorliegenden Fall die Voraussetzungen der persönlichen Haftung des Beklagten gegenüber dem Kläger zu bejahen. Die Verträge vom 7. Januar 1954 stellen rechtlich Vorverträge im Sinne von Art. 22 OR dar, die auf den Abschluss von Werkverträgen zwischen dem Kläger und der künftigen AG. gerichtet waren. Der Beklagte ist die Verpflichtung zum Abschluss dieser Werkverträge ohne irgendwelchen Vorbehalt zu seinen oder zu Gunsten der künftigen AG. eingegangen. Die übernommenen Verpflichtungen wurden weder vom Zustandekommen der geplanten AG. abhängig gemacht noch davon, dass diese die Verträge übernehme oder genehmige. Eine Beschränkung der Verpflichtung der AG. oder der Haftung des Beklagten wurde nie ins Auge gefasst. Der Beklagte zog eine solche nach seiner Darstellung gar nicht in Betracht, weil er der irrtümlichen Meinung war, die künftige AG. sei durch die getroffenen Vereinbarungen ohne weiteres verpflichtet. Für die Haftung des Beklagten spricht auch die Abwägung der Interessenlage der Prozessparteien. Der Anstoss zum Abschluss der streitigen Verträge ging vom Beklagten aus. Die Gesellschaft, deren Gründung er betrieb und für die er handelte, benötigte für die Ausführung ihres Bauvorhabens dringend die Liegenschaft "Taube". Diese war aber ohne die Hilfe des Klägers (und BGE 83 II 291 S. 296 des Dr. Binder) nicht erhältlich. Als Gegenleistung für die zur Erreichung des angestrebten Ziels unerlässliche Mitwirkung bei der Gründung der AG. anerbot der Beklagte dem Kläger die Übertragung der im Vertrag vom 7. Januar 1954 genannten Arbeiten. Der Beklagte hat somit durch die Zusicherung von Verpflichtungen der künftigen AG. den Kläger zur Erbringung von Leistungen für diese veranlasst. Es war daher Sache des Beklagten, für die rechtsgenügliche Begründung dieser Verpflichtungen durch die Gesellschaft zu sorgen. Hat er dies auf Grund eines Rechtsirrtums versäumt, so hat er auch die Folgen daraus zu tragen. Dieses Ergebnis widerspricht entgegen der Auffassung des Beklagten nicht Treu und Glauben. Gemäss verbindlicher Feststellung der Vorinstanz ist der Kläger lediglich fiduziarisch und formell, ohne eigenes Interesse an der AG. und mit zum voraus beschränkter Dauer als Gründer und Aktionär in Erscheinung getreten. Es wurden ihm fiduziarisch zwei Aktien anvertraut, die durch einen andern Aktionär zu liberieren waren und die er diesem Ende Mai 1954, also ca. 4 1/2 Monate nach der Gesellschaftsgründung, wieder herauszugeben hatte, womit er als Aktionär ausschied. Bei dieser Sachlage kann keine Rede davon sein, dass der Kläger gemäss der Auffassung des Beklagten durch sein Stillschweigen anlässlich der Gründung der AG. seine Rechte verscherzt und deshalb den erlittenen Schaden nach den besonderen Umständen des Falles selber zu tragen habe. Die geschilderten Umstände bestätigen im Gegenteil, dass es dem Beklagten oblag, für die Erfüllung der dem Kläger gemachten Zusicherungen durch die AG. besorgt zu sein. Es müsste, wie die Vorinstanz zutreffend ausführt, gegenteils als unerträglich empfunden werden, wenn der Beklagte und die Immo AG. Neugasse dank der Mitwirkung des Klägers ihren Zweck erreichen konnten, der Kläger selber aber leer ausgehen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