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272</w:t>
      </w:r>
    </w:p>
    <w:p>
      <w:r>
        <w:t>Bundesgericht (BGE), 1957-01-01, DE</w:t>
      </w:r>
    </w:p>
    <w:p>
      <w:r>
        <w:rPr>
          <w:b/>
        </w:rPr>
        <w:t xml:space="preserve">Quelle: </w:t>
      </w:r>
      <w:r>
        <w:t>https://mcp.opencaselaw.ch/entscheid/bge_BGE_83_II_272</w:t>
      </w:r>
    </w:p>
    <w:p>
      <w:r>
        <w:t>FR: ATF 83 II 272</w:t>
      </w:r>
    </w:p>
    <w:p>
      <w:r>
        <w:t>IT: DTF 83 II 272</w:t>
      </w:r>
    </w:p>
    <w:p>
      <w:pPr>
        <w:pStyle w:val="Heading2"/>
      </w:pPr>
      <w:r>
        <w:t>Regeste</w:t>
      </w:r>
    </w:p>
    <w:p>
      <w:r>
        <w:t>Regeste Entmündigung wegen lasterhaften Lebenswandels (Art. 370 ZGB) im Falle der Prostitution?</w:t>
      </w:r>
    </w:p>
    <w:p>
      <w:r>
        <w:t>Regeste Interdiction pour cause d'inconduite (art. 370 CC) dans le cas où une personne s'adonne à la prostitution?</w:t>
      </w:r>
    </w:p>
    <w:p>
      <w:r>
        <w:t>Regesto Interdizione per scostumatezza (art. 370 CC) nel caso in cui una persona si dà alla prostituzione?</w:t>
      </w:r>
    </w:p>
    <w:p>
      <w:pPr>
        <w:pStyle w:val="Heading2"/>
      </w:pPr>
      <w:r>
        <w:t>Erwägungen</w:t>
      </w:r>
    </w:p>
    <w:p>
      <w:r>
        <w:rPr>
          <w:b/>
        </w:rPr>
        <w:t>E. 1</w:t>
      </w:r>
    </w:p>
    <w:p>
      <w:r>
        <w:t>Angesichts des von der Vorinstanz als schlüssig gewürdigten Gutachtens von Dr. W. hat sich der Kläger mit Recht damit abgefunden, dass die Vorinstanz es abgelehnt hat, die Beklagte wegen Geistesschwäche im Sinne von Art. 369 ZGB zu entmündigen. Streitig ist also nur noch, ob die Entmündigung wegen lasterhaften Lebenswandels im Sinne von Art. 370 ZGB gerechtfertigt sei oder nicht.</w:t>
      </w:r>
    </w:p>
    <w:p>
      <w:r>
        <w:rPr>
          <w:b/>
        </w:rPr>
        <w:t>E. 2</w:t>
      </w:r>
    </w:p>
    <w:p>
      <w:r>
        <w:t>Die Beklagte hat sich nach den für das Bundesgericht massgebenden tatsächlichen Feststellungen der Vorinstanz von 1953 bis in das Jahr 1956 als Dirne betätigt und dieses Gewerbe namentlich vom Oktober 1954 an "hemmungslos" ausgeübt. Sie hat also zweifellos einen lasterhaften Lebenswandel im Sinne von Art. 370 ZGB geführt. Für die Zeit nach dem 23. April 1956, d.h. für die Zeit nach dem Verhör der Zeugen, die bestätigten, dass die Beklagte häufig Männerbesuche empfangen habe, ist jedoch nicht festgestellt, dass die Beklagte sich weiterhin der Gewerbsunzucht hingegeben habe. Die Vorinstanz billigt ihr im Gegenteil zu, dass ihr Lebenswandel, soweit er auf Grund der Akten bekannt sei, sich heute nicht mehr in der "abgründigen Tiefe" bewege wie früher. Aus der im angefochtenen Urteil erwähnten Tatsache, dass sie am 17. September 1956 von der Sittenpolizei festgenommen wurde, die sie dann dem Gutachter Dr. W. zuführte, zieht die Vorinstanz nicht den Schluss, dass die Beklagte damals wiederum im Begriffe gewesen sei, sich zu prostituieren. Dass die Beklagte sich nur unter dem BGE 83 II 272 S. 275 Drucke des Entmündigungsverfahrens vorübergehend etwas besser gehalten habe, stellt die Vorinstanz nicht fest. Unter diesen Umständen konnte ihr zur Zeit der Fällung des vorinstanzlichen Urteils nicht mehr vorgeworfen werden, dass sie einen lasterhaften Lebenswandel führe. Der geltend gemachte Entmündigungsgrund war also in dem für die Beurteilung der vorliegenden Berufung massgebenden Zeitpunkte nicht gegeben. Hiebei bliebe es übrigens auch dann, wenn es nach dem Frühjahr 1956 noch zu vereinzelten Fehltritten gekommen wäre; denn von lasterhaftem Lebenswandel kann nur die Rede sein, wenn eine Person sich gewohnheitsmässig einem Laster hingibt.</w:t>
      </w:r>
    </w:p>
    <w:p>
      <w:r>
        <w:rPr>
          <w:b/>
        </w:rPr>
        <w:t>E. 3</w:t>
      </w:r>
    </w:p>
    <w:p>
      <w:r>
        <w:t>Die Entmündigung wegen lasterhaften Lebenswandels im Sinne von Art. 370 ZGB könnte aber auch dann nicht bestätigt werden, wenn man mit dem Kläger annähme, vom Antragsteller könne aus praktischen Gründen nicht verlangt werden, dass er die Fortdauer des lasterhaften Lebenswandels bis zum Erlass des Urteils der letzten kantonalen Instanz beweise, oder sogar davon ausginge, eine während des Entmündigungsverfahrens tatsächlich eingetretene Besserung im Verhalten des Interdizenden sei nach der Lebenserfahrung gewöhnlich nicht von Dauer und deshalb unerheblich. Denn der lasterhafte Lebenswandel kann nach Art. 370 ZGB nur dann zur Entmündigung führen, wenn die betreffende Person sich oder ihre Familie dadurch der Gefahr eines Notstandes oder der Verarmung aussetzt oder wenn sie deswegen zu ihrem Schutze dauernd des Beistandes und der Fürsorge bedarf oder die Sicherheit anderer gefährdet, und von diesen Voraussetzungen ist im vorliegenden Falle keine erfüllt. a) Von einer Gefährdung der Sicherheit anderer könnte, wie sich aus BGE 46 II 210 Erw. 3 ergibt, nur gesprochen werden, wenn die Beklagte bei der Ausübung ihres Gewerbes Delikte begangen hätte, wofür keine Anhaltspunkte vorliegen. b) Dass die Beklagte wegen ihres Lebenswandels zu BGE 83 II 272 S. 276 ihrem Schutze in anderer als ökonomischer Beziehung des Beistandes und der Fürsorge bedürfe, die ihr ein Vormund gewähren könnte, hat die Vorinstanz mit Recht nicht angenommen. Die Frage aber, ob sie aus dem genannten Grunde in ökonomischer Beziehung schutzbedürftig sei, fällt mit der Frage zusammen, ob sie sich durch ihren Lebenswandel der Gefahr eines Notstandes oder der Verarmung aussetze. c) Diese Gefahr ist bei einer Person, die einen lasterhaften Lebenswandel führt, nicht schon deswegen als vorhanden anzusehen, weil bei einem solchen Verhalten ganz allgemein die Möglichkeit des Versinkens in Not und Armut besteht. Vielmehr ist erforderlich, dass die besondern Umstände des konkreten Falles eine gewisse Wahrscheinlichkeit dafür begründen, dass diese Möglichkeit sich verwirklichen werde. Die Tatsachen, die diesen Schluss rechtfertigen, sind wie diejenigen, die den lasterhaften Lebenswandel als solchen dartun, vom Antragsteller nachzuweisen (vgl. BGE 44 II 231 , letzter Satz der Erwägungen). Was hienach für den Fall des lasterhaften Lebenswandels im allgemeinen gilt, ist auch im Falle der Prostitution massgebend. Man kann (zumal seitdem die Gefahr der venerischen Erkrankung sich stark vermindert hat) nicht mit Grund behaupten, es spreche eine Vermutung dafür, dass weibliche Prostituierte nach verhältnismässig kurzer Zeit verarmen oder in Not geraten, und diese Vermutung sei so stark, dass die Gefahr eines Notstandes oder der Verarmung ohne weiteres zu bejahen sei, wenn keine Tatsachen nachgewiesen werden, die diese Gefahr ausschliessen. BGE 46 II 210 Erw. 2 hat nicht diesen Sinn. Wenn in BGE 46 II 343 Erw. 4 bemerkt wurde, es bestehe "keine Gewähr" dafür, dass die Interdizendin nicht, "wie die Prostituierten im allgemeinen", in Not gerate, so war dies nicht der einzige Grund dafür, dass dort die in Frage stehende Voraussetzung der Entmündigung als gegeben erachtet wurde. Vielmehr wies das Bundesgericht BGE 83 II 272 S. 277 ausserdem darauf hin, dass die Interdizendin an einer Lungenkrankheit litt. Man hatte es also damals mit einer gesundheitlich besonders gefährdeten Prostituierten zu tun. Im vorliegenden Falle liegt nichts vor, was erlauben würde, eine konkrete Gefahr als vorhanden anzunehmen. Zwar sagt die Vorinstanz, die Beklagte verstehe es nicht, "dem Geld Sorge zu tragen". Allein einerseits hat dies mit der Prostitution nichts zu tun, und anderseits liegt dieser Würdigung keinerlei Feststellung über bestimmte Tatsachen zugrunde, die sie rechtfertigen könnten. Dem Urteil und den Akten ist nur zu entnehmen, dass die Beklagte Bedürfnisse hatte, die sie aus dem Haushaltungsgeld nicht bestreiten konnte. Davon aber, dass sie Schulden gemacht oder die Armenbehörden in Anspruch genommen habe, verlautet nichts. Ihre Entmündigung ist daher nicht gerechtfertigt.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