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169</w:t>
      </w:r>
    </w:p>
    <w:p>
      <w:r>
        <w:t>Bundesgericht (BGE), 1957-01-01, DE</w:t>
      </w:r>
    </w:p>
    <w:p>
      <w:r>
        <w:rPr>
          <w:b/>
        </w:rPr>
        <w:t xml:space="preserve">Quelle: </w:t>
      </w:r>
      <w:r>
        <w:t>https://mcp.opencaselaw.ch/entscheid/bge_BGE_83_II_169</w:t>
      </w:r>
    </w:p>
    <w:p>
      <w:r>
        <w:t>FR: ATF 83 II 169</w:t>
      </w:r>
    </w:p>
    <w:p>
      <w:r>
        <w:t>IT: DTF 83 II 169</w:t>
      </w:r>
    </w:p>
    <w:p>
      <w:pPr>
        <w:pStyle w:val="Heading2"/>
      </w:pPr>
      <w:r>
        <w:t>Regeste</w:t>
      </w:r>
    </w:p>
    <w:p>
      <w:r>
        <w:t>Regeste Ehescheidung. Wenn eine Partei auf Scheidung, die andere nur auf Trennung klagt und beide Klagen an sich begründet sind, ist in Gutheissung der erstern Klage allein die Scheidung auszusprechen und die Trennungsklage gegenstandslos zu erklären.</w:t>
      </w:r>
    </w:p>
    <w:p>
      <w:r>
        <w:t>Regeste Divorce. Lorsqu'une partie actionne en divorce et l'autre seulement en séparation de corps et qu'en elle-même chacune des deux actions est fondée, il ne faut admettre que la première, prononcer le divorce et déclarer que l'action en séparation de corps est sans objet.</w:t>
      </w:r>
    </w:p>
    <w:p>
      <w:r>
        <w:t>Regesto Divorzio. Quando una parte domanda il divorzio e l'altra soltanto la separazione ed entrambe le azioni sono fondate, non può essere pronunciato che il divorzio, mentre l'azione di separazione deve essere dichiarata priva di oggetto.</w:t>
      </w:r>
    </w:p>
    <w:p>
      <w:pPr>
        <w:pStyle w:val="Heading2"/>
      </w:pPr>
      <w:r>
        <w:t>Erwägungen</w:t>
      </w:r>
    </w:p>
    <w:p>
      <w:r>
        <w:rPr>
          <w:b/>
        </w:rPr>
        <w:t>E. 1</w:t>
      </w:r>
    </w:p>
    <w:p>
      <w:r>
        <w:t>Wenn beim Vorhandensein des Scheidungsgrundes der tiefen Zerrüttung eine Partei auf Scheidung, die andere nur auf Trennung klagt, so muss die Scheidung ausgesprochen werden, es sei denn, die auf Scheidung klagende Partei treffe ein vorwiegendes Verschulden an der Zerrüttung ( Art. 142 Abs. 2 ZGB ) oder es bestehe Aussicht auf Wiedervereinigung (Art. 146 Abs. 3). Steht dem Scheidungskläger Art. 142 Abs. 2 entgegen, so ist seine Klage nicht begründet; BGE 83 II 169 S. 170 sie ist daher abzuweisen und in Gutheissung der allein begründeten Klage der Gegenpartei die blosse Trennung auszusprechen. Trifft keine Partei ein vorwiegendes Verschulden an der Zerrüttung, sind also grundsätzlich beide Klagen begründet, so ist die Scheidung auszusprechen und zwar auf Begehren der auf Scheidung klagenden Partei allein, nicht etwa beider Parteien; denn die bloss auf Trennung klagende Partei hat ein Scheidungsbegehren gar nicht gestellt, der Richter kann daher auch kein solches gutheissen, ohne ultra petita partis zu gehen. Die Trennungsklage ist aber bei dieser Sachlage nicht abzuweisen; denn sie ist nicht unbegründet, sondern kann einfach deshalb nicht geschützt werden, weil man eine Ehe nicht zugleich scheiden und trennen kann und die Scheidung die weitergehende Massnahme ist. Vielmehr wird durch die Gutheissung der Klage auf Scheidung diejenige auf Trennung ipso jure gegenstandslos. Disp. 1 der Vorinstanz ist demnach insofern gesetzwidrig, als es die Scheidung auf Begehren beider Parteien ausspricht - offenbar um zu betonen, dass die Trennungsklage materiell auch begründet ist. Welche Klage, die auf Scheidung oder die auf Trennung gehende, gutzuheissen ist, hängt davon ab, ob den Scheidungskläger ein vorwiegendes Verschulden an der Zerrüttung trifft oder nicht.</w:t>
      </w:r>
    </w:p>
    <w:p>
      <w:r>
        <w:rPr>
          <w:b/>
        </w:rPr>
        <w:t>E. 2</w:t>
      </w:r>
    </w:p>
    <w:p>
      <w:r>
        <w:t>- 4.- (Prüfung der Verschuldensfrage). .... Es ist mithin der Vorinstanz dahin beizupflichten, dass keine Partei ein überwiegendes Verschulden an der Zerrüttung trifft. Für eine Wiedervereinigungsaussicht bieten die Akten keinerlei Anhaltspunkte, weshalb auch nicht unter dem Gesichtspunkt des Art. 146 Abs. 3 ZGB auf blosse Trennung statt auf Scheidung erkannt werden kann. Entsprechend dem in Erwägung 1 Ausgeführten ist daher die Scheidungsklage des Mannes gutzuheissen. Dass die Trennungsklage der Frau sachlich ebenfalls begründet ist und nur zufolge der Scheidung nicht geschützt werden kann, kommt dadurch zum Ausdruck, dass sie nicht BGE 83 II 169 S. 171 abgewiesen, sondern gegenstandslos erklärt wird, wozu die Anschlussberufung des Beklagten die Möglichkeit bietet.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