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82</w:t>
      </w:r>
    </w:p>
    <w:p>
      <w:r>
        <w:t>Bundesgericht (BGE), 1957-01-01, FR</w:t>
      </w:r>
    </w:p>
    <w:p>
      <w:r>
        <w:rPr>
          <w:b/>
        </w:rPr>
        <w:t xml:space="preserve">Quelle: </w:t>
      </w:r>
      <w:r>
        <w:t>https://mcp.opencaselaw.ch/entscheid/bge_BGE_83_III_82</w:t>
      </w:r>
    </w:p>
    <w:p>
      <w:r>
        <w:t>FR: ATF 83 III 82</w:t>
      </w:r>
    </w:p>
    <w:p>
      <w:r>
        <w:t>IT: DTF 83 III 82</w:t>
      </w:r>
    </w:p>
    <w:p>
      <w:pPr>
        <w:pStyle w:val="Heading2"/>
      </w:pPr>
      <w:r>
        <w:t>Regeste</w:t>
      </w:r>
    </w:p>
    <w:p>
      <w:r>
        <w:t>Regeste Anfechtungsklage. Art. 288 SchKG. Anfechtung einer nachträglich zur Sicherstellung eines Blankokredites erfolgten Pfandbestellung. Dem betreffenden Gläubiger erkennbare Absicht des Schuldners, ihn zu begünstigen.</w:t>
      </w:r>
    </w:p>
    <w:p>
      <w:r>
        <w:t>Regeste Action révocatoire. Art. 288 LP. Révocation d'un gage constitué après coup en garantie d'un crédit en blanc. Intention du débiteur de favoriser le créancier reconnaissable pour celui-ci.</w:t>
      </w:r>
    </w:p>
    <w:p>
      <w:r>
        <w:t>Regesto Azione rivocatoria. Art. 288 LEF. Revoca di un pegno costituito successivamente a garanzia di un credito in bianco. Intenzione del debitore di favorire un creditore, da questi riconoscibile.</w:t>
      </w:r>
    </w:p>
    <w:p>
      <w:pPr>
        <w:pStyle w:val="Heading2"/>
      </w:pPr>
      <w:r>
        <w:t>Erwägungen</w:t>
      </w:r>
    </w:p>
    <w:p>
      <w:r>
        <w:rPr>
          <w:b/>
        </w:rPr>
        <w:t>E. 3</w:t>
      </w:r>
    </w:p>
    <w:p>
      <w:r>
        <w:t>Pour qu'un acte soit révocable en vertu de l'art. 288 LP, il faut, d'une part, que le débiteur ait eu l'intention de porter préjudice à ses créanciers ou de favoriser certains d'entre eux au détriment des autres et, d'autre part, que le bénéficiaire ait pu le reconnaître. a) Il est de jurisprudence constante (RO 40 III 207 et les arrêts cités, 41 III 74, 55 III 87) que l'intention dolosive du débiteur doit être considérée comme établie lorsqu'il a pu et dû prévoir que l'acte incriminé aurait pour effet naturel de porter préjudice aux créanciers ou de favoriser certains d'entre eux au détriment des autres; il n'est pas nécessaire que le débiteur ait agi dans le but de porter atteinte aux droits des créanciers ou d'avantager certains d'entre eux, mais il suffit qu'il ait pu et dû se rendre compte que son acte aurait normalement cette conséquence. Selon les constatations de fait des deux BGE 83 III 82 S. 86 juridictions cantonales, Nachimson était insolvable en mars 1952 à l'époque où a été faite l'offre de constituer un gage en garantie du crédit ouvert en blanc quelques mois plus tôt; il l'était également en août 1952 lorsque le nantissement du madère et du porto a été opéré. Son passif dépassait dans une telle mesure son actif, qu'il ne pouvait pas ne pas être conscient de son insolvabilité, bien que sa comptabilité ait été déficiente; en effet, lors de la faillite, sa situation, dont il n'a été ni allégué ni établi qu'elle eût été plus obérée que dans les mois précédents, présentait environ 890 000 fr. d'actif contre 1900 000 fr. de passif en chiffre rond. Etant insolvable et conscient de cet état, Nachimson pouvait et devait se rendre compte que la constitution d'un gage en faveur de l'intimée, offerte en mars puis effectuée en août 1952, était préjudiciable à ses autres créanciers et qu'elle favorisait indûment la bénéficiaire. L'intention frauduleuse du débiteur requise par l'art. 288 LP doit être ainsi considérée en l'espèce comme donnée aussi bien au moment de l'offre du gage qu'à celui de sa constitution. b) Selon la jurisprudence (RO 21 I 286, 25 II 673, 26 II 623, 30 II 164, 32 II 173, 33 II 662, 37 II 310, 40 III 207) le terme "connivence" qui figure dans le texte français de l'art. 288 LP doit être entendu dans ce sens que le bénéficiaire a pu et dû prévoir, en usant de l'attention commandée par les circonstances, que l'opération incriminée aurait pour conséquence naturelle de porter préjudice aux créanciers ou de le favoriser au détriment des autres créanciers. En l'espèce, l'intimée pouvait et devait se rendre compte que la constitution d'un gage en garantie du crédit en blanc qu'elle avait ouvert à Nachimson entraînerait normalement une atteinte aux droits des autres créanciers et la favoriserait indûment par rapport à eux. En 1950, elle avait exigé la liquidation du crédit en blanc accordé à Nachimson. Par la suite, lorsqu'en 1951 elle a consenti à lui ouvrir un nouveau compte de ce genre de 50 000 fr. et qu'en février elle l'a porté à 75 000 fr., BGE 83 III 82 S. 87 elle ne l'a fait que contre remise d'une traite d'un montant égal à celui du crédit. Il en résulte qu'à cette époque déjà elle n'avait plus la même confiance qu'auparavant dans la solvabilité de son débiteur. Au début de mars 1952, quand Nachimson a été arrêté et que la banque Hentsch &amp; Cie a été informée qu'il était sous le coup d'une inculpation pouvant entraîner une amende d'un million de francs et le retrait de la patente d'importateur, elle devait se rendre compte, avec l'attention commandée par les circonstances, que son débiteur était financièrement ruiné. La conclusion que Nachimson devait être tenu désormais pour insolvable a dû alors normalement s'imposer à l'intimée, d'autant plus qu'avant ces événements qui étaient d'une gravité particulière pour son débiteur elle n'avait plus une confiance totale dans la situation de celui-ci, ainsi qu'elle l'avait manifesté par les conditions mises à l'octroi du crédit en blanc accordé en août 1951 puis renouvelé en février 1952. Par ailleurs, suivant les constatations de fait du Tribunal de première instance auxquelles la Cour de justice a déclaré se référer, Nachimson était effectivement insolvable en mars 1952. Grâce aux moyens d'information dont les banques disposent et dont elles se servent pour se renseigner sur les personnes avec lesquelles elles traitent, l'intimée pouvait et devait alors se rendre compte de l'état d'insolvabilité de Nachimson. Ainsi, au moment où un gage lui a été offert, au début de mars 1952, pour une dette qui ne bénéficiait d'aucune garantie de nature réelle, la banque Hentsch &amp; Cie, eu égard à l'insolvabilité de son débiteur, a pu et dû prévoir que sa constitution porterait préjudice aux autres créanciers et la favoriserait à leur détriment. A l'époque où le nantissement du madère et du porto encavés au port-franc de Genève a été opéré, soit en août 1952, l'intimée était également consciente de l'insolvabilité de Nachimson. Dans le memorandum du 7 juillet 1952 qu'elle a établi à l'intention de son débiteur, elle envisageait en effet la faillite de celui-ci et insistait pour BGE 83 III 82 S. 88 que ses intérêts fussent sauvegardés en considération de l'effort qu'elle a fait pour lui "dans les moments les plus difficiles". Le fait que Nachimson avait pu désintéresser certains créanciers n'était pas de nature à tranquilliser l'intimée, car elle savait, ainsi qu'il ressort d'une notice du 4 avril 1952 rédigée par ses services, que ces paiements n'avaient pu être effectués qu'au moyen d'un prêt accordé par une autre banque et garanti par une hypothèque de 200 000 fr. Selon la même notice, la banque Hentsch &amp; Cie était au courant de la situation de Nachimson auprès d'autres banques envers lesquelles ses engagements, garantis en partie seulement par des actions Cives dont la valeur était douteuse, s'élevaient à 240 000 fr.; elle était également informée que son débiteur avait fait expertiser les bijoux de sa femme pour en déterminer la valeur vénale, ce qui signifiait manifestement qu'il était aux abois. Il résulte de ces circonstances que, connaissant la situation de Nachimson, l'intimée pouvait et devait prévoir, avec l'attention à laquelle elle était tenue, que le gage constitué en sa faveur porterait nécessairement atteinte aux droits des autres créanciers et l'avantagerait à leur préjudice. Cela étant, le nantissement qu'elle s'est fait remettre tombe sous le coup de l'art. 288 LP, et c'est dès lors à bon droit que l'administration a refusé de l'admettre. Il s'ensuit que l'action en modification de l'état de collocation qu'elle a intentée pour faire reconnaître le droit de gage litigieux doit être rejetée et l'arrêt attaqué, réformé dans ce sens. Le droit de gage revendiqué par l'intimée étant soumis à révocation en vertu de l'art. 288 LP, on peut se dispenser d'examiner si les conditions d'application de l'art. 287 ch. 1 LP sont réunies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