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63</w:t>
      </w:r>
    </w:p>
    <w:p>
      <w:r>
        <w:t>Bundesgericht (BGE), 1957-08-29, FR</w:t>
      </w:r>
    </w:p>
    <w:p>
      <w:r>
        <w:rPr>
          <w:b/>
        </w:rPr>
        <w:t xml:space="preserve">Quelle: </w:t>
      </w:r>
      <w:r>
        <w:t>https://mcp.opencaselaw.ch/entscheid/bge_BGE_83_III_63</w:t>
      </w:r>
    </w:p>
    <w:p>
      <w:r>
        <w:t>FR: ATF 83 III 63</w:t>
      </w:r>
    </w:p>
    <w:p>
      <w:r>
        <w:t>IT: DTF 83 III 63</w:t>
      </w:r>
    </w:p>
    <w:p>
      <w:pPr>
        <w:pStyle w:val="Heading2"/>
      </w:pPr>
      <w:r>
        <w:t>Regeste</w:t>
      </w:r>
    </w:p>
    <w:p>
      <w:r>
        <w:t>Regeste Pfändungsvollzug (Art. 91 ff. SchKG). Pflichten des Betreibungsamtes.</w:t>
      </w:r>
    </w:p>
    <w:p>
      <w:r>
        <w:t>Regeste Exécution de la saisie (art. 91 et suiv. LP). Obligations de l'office des poursuites.</w:t>
      </w:r>
    </w:p>
    <w:p>
      <w:r>
        <w:t>Regesto Esecuzione del pignoramento (art. 91 sgt. LEF). Obblighi che incombono all'Ufficio di esecuzione.</w:t>
      </w:r>
    </w:p>
    <w:p>
      <w:pPr>
        <w:pStyle w:val="Heading2"/>
      </w:pPr>
      <w:r>
        <w:t>Erwägungen</w:t>
      </w:r>
    </w:p>
    <w:p>
      <w:r>
        <w:rPr>
          <w:b/>
        </w:rPr>
        <w:t>E. 1</w:t>
      </w:r>
    </w:p>
    <w:p>
      <w:r>
        <w:t>En matière de saisie, l'obligation essentielle de l'office est de rechercher les biens du débiteur qui ne tombent pas sous le coup des art. 92 et 93 LP et de les saisir à concurrence de ce qui est nécessaire pour couvrir la créance. Sans doute doit-il interroger le débiteur (art. 91 al. 1 LP). Mais, lorsque la valeur des biens indiqués par celui-ci est inférieure au montant de la créance ou que ces objets sont frappés de séquestre ou revendiqués par des tiers (art. 95 al. 3 LP), le préposé ne saurait se fonder simplement sur les déclarations de la personne poursuivie. Il est alors tenu de rechercher lui-même si d'autres biens saisissables existent et, à cet effet, de visiter ou faire visiter les locaux et les meubles du débiteur, BGE 83 III 63 S. 65 comme l'art. 91 al. 2 LP lui en donne le droit. En particulier, lorsque le créancier désigne des objets à saisir, le préposé doit vérifier s'ils existent et sont en possession du débiteur. C'est de cette façon seulement qu'il sauvegarde les intérêts du créancier aussi bien que ceux de l'autre partie (art. 95 al. 5 LP). Sans doute le débiteur s'expose-t-il à des poursuites pénales s'il fait de fausses déclarations, mais cette sanction ne dispense pas l'office de ses obligations. En l'espèce, le préposé s'est borné à saisir, selon les indications données par la débitrice, quatre chiens et une voiture automobile. Bien que la valeur de ces objets ne couvre pas la créance et qu'ils soient, au surplus, revendiqués par un tiers, il n'a pas recherché d'autres biens saisissables et, en particulier, n'a visité ni l'appartement ni les meubles de dame E. En agissant ainsi, il a enfreint les obligations que lui imposaient les art. 91 et suiv. LP, de sorte que la saisie doit être annulée. Il devra procéder à une nouvelle saisie en se conformant aux dispositions légales.</w:t>
      </w:r>
    </w:p>
    <w:p>
      <w:r>
        <w:rPr>
          <w:b/>
        </w:rPr>
        <w:t>E. 2</w:t>
      </w:r>
    </w:p>
    <w:p>
      <w:r>
        <w:t>Du reste, une visite de l'appartement et des meubles de la débitrice s'imposait d'autant plus que le créancier avait demandé, en vertu de l'art. 30 al. 4 du tarif, un inventaire complet des biens appartenant à dame E. L'office, qui n'a donné aucune suite à cette requête, devra réparer son omission à l'occasion de la nouvelle saisie à laquelle il est tenu de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