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49</w:t>
      </w:r>
    </w:p>
    <w:p>
      <w:r>
        <w:t>Bundesgericht (BGE), 1957-01-01, IT</w:t>
      </w:r>
    </w:p>
    <w:p>
      <w:r>
        <w:rPr>
          <w:b/>
        </w:rPr>
        <w:t xml:space="preserve">Quelle: </w:t>
      </w:r>
      <w:r>
        <w:t>https://mcp.opencaselaw.ch/entscheid/bge_BGE_83_III_49</w:t>
      </w:r>
    </w:p>
    <w:p>
      <w:r>
        <w:t>FR: ATF 83 III 49</w:t>
      </w:r>
    </w:p>
    <w:p>
      <w:r>
        <w:t>IT: DTF 83 III 49</w:t>
      </w:r>
    </w:p>
    <w:p>
      <w:pPr>
        <w:pStyle w:val="Heading2"/>
      </w:pPr>
      <w:r>
        <w:t>Regeste</w:t>
      </w:r>
    </w:p>
    <w:p>
      <w:r>
        <w:t>Regeste Art. 4 Abs. 5 VO des Bundesgerichts vom 23.12.1953 über Ergänzung und teilweise Ände rung der VO vom 19.12.1910/23.12.1932 betreffend Eintragung der Eigentumsvorbehalte. - Ist bei Wohnsitzwechsel des Erwerbers der Eintrag am bisherigen Wohnsitz (von Amtes wegen) zu löschen? - Gebührenerhebung?</w:t>
      </w:r>
    </w:p>
    <w:p>
      <w:r>
        <w:t>Regeste Art. 4 al. 5 de l'Ordonnance du Tribunal fédéral du 23 décembre 1953 complétant et modifiant partiellement l'ordonnance concernant l'inscription des pactes de réserve de propriété du 19 décembre 1910/23 décembre 1932. - En cas de changement de domicile de l'acquéreur, l'inscription doit-elle être radiée (d'office) à l'ancien domicile? Perception d'émoluments?</w:t>
      </w:r>
    </w:p>
    <w:p>
      <w:r>
        <w:t>Regesto Art. 4 cp. 5 del Regolamento del Tribunale federale del 23 dicembre 1953 che completa e modifica parzialmente il Regolamento con cernente l'iscrizione dei patti di riserva di proprietà del 19 dicembre 1910/23 dicembre 1932. - In caso di cambiamento di domicilio dell'acquirente, l'iscrizione deve essere cancellata (d'ufficio) al precedente domicilio? Riscossione di tasse?</w:t>
      </w:r>
    </w:p>
    <w:p>
      <w:pPr>
        <w:pStyle w:val="Heading2"/>
      </w:pPr>
      <w:r>
        <w:t>Volltext</w:t>
      </w:r>
    </w:p>
    <w:p>
      <w:r>
        <w:t>Bundesgericht (BGE) Band III 1957 BGE 83 III 49 Tribunal fédéral (ATF) Volume III 1957 BGE 83 III 49 Tribunale federale (DTF) Volume III 1957 BGE 83 III 49</w:t>
      </w:r>
    </w:p>
    <w:p>
      <w:r>
        <w:t>Regeste Art. 4 Abs. 5 VO des Bundesgerichts vom 23.12.1953 über Ergänzung und teilweise Ände rung der VO vom 19.12.1910/23.12.1932 betreffend Eintragung der Eigentumsvorbehalte. - Ist bei Wohnsitzwechsel des Erwerbers der Eintrag am bisherigen Wohnsitz (von Amtes wegen) zu löschen? - Gebührenerhebung? Regeste Art. 4 al. 5 de l'Ordonnance du Tribunal fédéral du 23 décembre 1953 complétant et modifiant partiellement l'ordonnance concernant l'inscription des pactes de réserve de propriété du 19 décembre 1910/23 décembre 1932. - En cas de changement de domicile de l'acquéreur, l'inscription doit-elle être radiée (d'office) à l'ancien domicile? Perception d'émoluments? Regesto Art. 4 cp. 5 del Regolamento del Tribunale federale del 23 dicembre 1953 che completa e modifica parzialmente il Regolamento con cernente l'iscrizione dei patti di riserva di proprietà del 19 dicembre 1910/23 dicembre 1932. - In caso di cambiamento di domicilio dell'acquirente, l'iscrizione deve essere cancellata (d'ufficio) al precedente domicilio? Riscossione di tasse?</w:t>
      </w:r>
    </w:p>
    <w:p>
      <w:r>
        <w:t>Urteilskopf 83 III 49 14. Schreiben der Schuldbetreibungs- und Konkurskammer an die Konferenz der Betreibungs- und Konkursbeamten der Schweiz. Lettre de la Chambre des poursuites et des faillites à la Conférence des préposés aux offices des poursuites et des faillites de Suisse. Lettera della Camera di esecuzione e dei fallimenti alla Conferenza degli ufficiali svizzeri di esecuzione e dei fallimenti. (24. 6.1957). Regeste Art. 4 Abs. 5 VO des Bundesgerichts vom 23.12.1953 über Ergänzung und teilweise Ände rung der VO vom 19.12.1910/23.12.1932 betreffend Eintragung der Eigentumsvorbehalte. - Ist bei Wohnsitzwechsel des Erwerbers der Eintrag am bisherigen Wohnsitz (von Amtes wegen) zu löschen? - Gebührenerhebung? Erwägungen ab Seite 50 BGE 83 III 49 S. 50 Auf eine bezügliche Anfrage der Konferenz der Betreibungs- und Konkursbeamten der Schweiz (und des Betreibungsamtes Zürich 2) hat die Schuldbetreibungs- und Konkurskammer am 24. Juni 1957 wie folgt geantwortet: Nach Art. 715 ZGB ist der Eigentumsvorbehalt nur wirksam, wenn er am jeweiligen Wohnort des Erwerbers eingetragen ist. Art. 3 der Verordnung betreffend die Eintragung der Eigentumsvorbehalte sieht daher vor, dass beim Wechsel des Wohnortes (oder der Geschäftsniederlassung; bei Wohnsitz im Ausland, siehe Art. 1 Abs. 1 der Verordnung) eine neue Eintragung bei dem nun zuständigen Registeramte vorzunehmen ist. Nach Art. 3 Abs. 2 verliert die frühere Eintragung ihre Wirkung einen Monat nach dem Erwerb des neuen Wohnsitzes bezw. Geschäftsdomizils. Eine Löschung von Amtes wegen ist jedoch nicht vorgeschrieben, auch nicht in Art. 4, und sie lässt sich im besondern nicht auf die neue Vorschrift des rev. Art. 4 Abs. 5 stützen, wonach das um Eintragung ersuchte Registeramt des neuen Wohnortes auf Kosten des Anmeldenden die beim Amt des frühern Wohnortes aufbewahrten zugehörigen Akten einzuverlangen hat. Bei der Vorbereitung der Verordnung im Jahre 1910 hatte man zwar die Frage erwogen, ob die Erwirrkung einer Eintragung am neuen Wohnort die Löschung des allfällig bestehenden Eintrages am bisherigen Wohnorte von Amtes wegen nach sich ziehen solle. Doch wurde keine dahingehende Bestimmung aufgestellt. Art. 12 der Verordnung unterscheidet nicht einmal zwischen den verschiedenen Löschungsgründen, während ein Vorentwurf die Aufgabe des Wohnsitzes im betreffenden Betreibungskreis ausdrücklich als Grund zur Löschung anführte, aber nicht etwa zur Löschung BGE 83 III 49 S. 51 von Amtes wegen, sondern zur Löschung auf Antrag beider Parteien oder des Veräusserers allein. Dem entspricht das System des geltenden Art. 12, der nur die Löschung auf Antrag kennt und im übrigen, ohne Rücksicht auf deren Grund, zwischen mündlicher und schriftlicher Erklärung unterscheidet. Eine Löschung von Amtes wegen erfolgt dagegen im Bereinigungsverfahren, und zwar unentgeltlich (Art. 6 der Verordnung vom 29. März 1939). Daraus ist nun freilich nicht zu schliessen, dass der wegen Wohnsitzwechsels des Erwerbers unwirksam gewordene Eintrag im Register des bisherigen Wohnortes unverändert bestehen bleiben solle. Verlangt das Amt des neuen Wohnsitzes, wo die Eintragung ebenfalls nachgesucht wurde, die zugehörigen Akten gemäss dem revidierten Art. 4 Abs. 5 ein, so erhält das Registeramt des bisherigen Wohnortes damit zuverlässige Kenntnis vom Wohnsitzwechsel. Es darf daher den Eintrag in seinem Register gemäss Art. 3 Abs. 2 der Verordnung als hinfällig betrachten. Das rechtfertigt es, unter der Rubrik "Löschung" den Wohnsitzwechsel des Erwerbers und die nun an dessen neuem Wohnort erfolgte Eintragung anzumerken. Wo das Hauptregister in Kartenform geführt wird, sind die mit dieser Anmerkung versehenen Karten aus dem in Gebrauch stehenden Register zu entfernen und zu archi. vieren. Für diese der Entlastung des laufenden Registers dienende Notiznahme und Archivierung von Amtes wegen ist keine Gebühr zu erheben. Die Analogie zur Löschung im Bereinigungsverfahren drängt sich auf, und der Gebührentarif verpflichtet denn auch in Art. 45 zur Gebührenentrichtung allgemein nur "die antragstellende Partei". Die Kosten der durch die Anmeldung des Eigentumsvorbehaltes am neuen Wohnort verursachten Aktenüberweisung sind dagegen dem Anmeldenden zu belasten, wie Art. 4 Abs. 5 der Verordnung es ausdrücklich bestimmt. BGE 83 III 49 S. 52 La Chambre des poursuites et des faillites a répondu ce qui suit, le 24 juin 1957, à une lettre de la Conférence des préposés aux offices des poursuites et des faillites de Suisse (et de l'office des poursuites de Zurich 2) relative à cette question: Selon l'art. 715 CC, le pacte en vertu duquel l'aliénateur se réserve la propriété d'un meuble transféré à l'acquéreur n'est valable que s'il a été inscrit au domicile actuel de ce dernier. L'art. 3 de l'ordonnance concernant l'inscription des pactes de réserve de propriété prévoit par conséquent que, lorsque l'acquéreur transfère son domicile (ou son établissement; pour le domicile à l'étranger, voir art. 1er al. 1 de l'ordonnance), une nouvelle inscription doit être prise dans le nouvel arrondissement. Selon l'art. 3 al. 2, l'inscription primitive perd son effet un mois après la fondation du nouveau domicile. Une radiation d'office n'est cependant pas prévue et elle ne peut notamment trouver son fondement dans l'art. 4 revisé, al. 5, selon lequel "l'office du nouveau domicile réclamera à l'office de l'ancien domicile les pièces qui étaient jusqu'alors conservées par ce dernier". En 1910, lors des travaux préparatoires de l'ordonnance, on s'était, il est vrai, demandé si la nouvelle inscription devait entraîner d'office la radiation de celle qui avait pu être opérée à l'ancien domicile. Mais aucune prescription n'a été édictée sur ce point. L'art. 12 de l'ordonnance ne distingue même pas entre les différents motifs de radiation, alors qu'un avant-projet prévoyait expressément comme motif de radiation l'abandon du domicile dans l'arrondissement en question; dans ce cas, toutefois, la radiation ne devait pas être opérée d'office, mais à la demande des deux parties ou du seul aliénateur. Cela est conforme au système de l'art. 12 actuellement en vigueur, qui ne connaît que la radiation sur demande et qui fait du reste une distinction entre les déclarations orales et écrites, quel que soit le motif de radiation. Dans la procédure d'épuration, en revanche, la radiation est opérée d'office, gratuitement (art. 6 de l'ordonnance du 29 mars 1939). BGE 83 III 49 S. 53 Il ne faut pas en déduire que l'inscription qui a perdu son effet à la suite d'un changement de domicile de l'acquéreur subsisterait telle quelle. Lorsque l'office du nouveau domicile, où l'inscription est également requise, réclame les pièces s'y rapportant (art. 4 revisé, al. 5), l'office de l'ancien domicile est avisé de source sûre du changement de domicile. Il peut donc considérer que l'inscription dans son registre a perdu son effet selon l'art. 3 al. 2 de l'ordonnance, ce qui justifie d'annoter dans la rubrique "radiation" et le changement de domicile de l'acquéreur et l'inscription faite au nouveau domicile. Là où le registre principal a été remplacé par un fichier, les fiches portant une telle annotation en seront retirées et seront conservées aux archives. Il n'y a pas lieu de percevoir un émolument pour cette annotation et la mise aux archives, qui allègent le registre courant. L'analogie avec la radiation dans la procédure d'épuration s'impose, et le tarif des frais établit du reste à l'art. 45 la règle générale que "la partie requérante" doit payer seule les émoluments. En revanche, les frais de transmission des pièces à la suite de la requête d'inscription au nouveau domicile doivent être mis à la charge de la partie requérante, comme le prévoit expressément l'art. 4 al. 5. La Camera di esecuzione e dei fallimenti ha risposto quanto segue, il 24 giugno 1957, ad una richiesta della Conferenza degli ufficiali svizzeri d'esecuzione e dei fallimenti (nonché dell'ufficio di esecuzione di Zurigo 2) relativa a tale questione: Giusta l'art. 715 CC, la riserva della proprietà è valida solo se sia iscritta nel luogo dell'attuale domicilio dell'acquirente. L'art. 3 del regolamento concernente l'iscrizione dei patti di riserva della proprietà prevede di conseguenza che in caso di trasferimento del domicilio (o del domicilio d'affari; per il domicilio all'estero, vedi art. 1 cp. 1 del regolamento) una nuova iscrizione dovrà essere fatta nel BGE 83 III 49 S. 54 nuovo circondario competente. In virtù dell'art. 3 cp. 2, l'iscrizione primitiva cessa di spiegare i suoi effetti un mese dopo l'acquisto del nuovo domicilio o domicilio di affari. Tuttavia, una cancellazione d'ufficio non è prescritta, nemmeno nell'art. 4; essa non può segnatamente essere fondata sul riveduto art. 4 cp. 5, secondo cui l'ufficio del nuovo domicilio deve, quando è stato richiesto di procedere all'iscrizione, domandare a quello del domicilio anteriore di rimettergli, a spese del richiedente, i documenti da esso conservati. Vero è che in sede di elaborazione del regolamento del 1910 era stata esaminata anche la questione se il conseguimento di un'iscrizione nel luogo del nuovo domicilio non dovesse comportare la cancellazione d'ufficio dell'eventuale iscrizione sussistente al precedente domicilio. Nessuna disposizione fu tuttavia emanata in questo senso. L'art. 12 del regolamento non distingue neppure tra i vari motivi di cancellazione, mentre un avanprogetto indicava esplicitamente la cessazione del domicilio nel circondario d'esecuzione competente come un motivo di cancellazione, sia pure nel senso che l'iscrizione poteva essere cancellata non già d'ufficio, bensì a richiesta di ambedue le parti o dell'alienante. A questo sistema corrisponde l'art. 12 in vigore, che prevede solo la cancellazione a richiesta delle parti e distingue per il rimanente, indipendentemente dal motivo della cancellazione medesima, tra dichiarazione verbale e scritta. Una cancellazione d'ufficio - e senza spese - è invece prevista nella procedura di appuramento (art. 6 del regolamento del 29 marzo 1939). Dalle considerazioni che precedono non si deve naturalmente dedurre che un'iscrizione nel registro del domicilio precedente, divenuta inefficace per cambiamento di domicilio dell'acquirente, debba continuare a sussistere invariata. Qualora l'ufficio del nuovo domicilio, dove l'iscrizione è parimente stata chiesta, domandi la consegna dei documenti conservati dall'ufficio del domicilio precedente, questo dispone, circa il cambiamento di domicilio, di BGE 83 III 49 S. 55 un'informazione sicura. In questo caso, esso può considerare caduca l'iscrizione nel suo registro, conformemente all'art. 3 cp. 2 del regolamento. Ciò giustifica l'annotazione, nella rubrica "cancellazione", del cambiamento di domicilio dell'acquirente e l'avvenuta iscrizione nel luogo del nuovo domicilio. Dove il registro principale è tenuto in forma di schedario, l'annotazione sarà fatta sulle schede e queste saranno tolte dal registro in uso per essere archiviate. Nessuna tassa dev'essere riscossa per questa annotazione e archiviatura, che permettono di semplificare il registro corrente. L'analogia con la cancellazione nella procedura di appuramento non può essere negata e la tariffa delle tasse dispone del resto in generale, nel suo art. 45, che le tasse devono essere pagate solo dalla "parte richiedente". Le spese cagionate dalla trasmissione degli atti consecutiva alla notificazione della riserva della proprietà nel luogo del nuovo domicilio devono beninteso essere addossate alla parte che ha chiesto l'iscrizione, conformemente a quanto l'art. 4 cp. 5 espressamente dispone.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