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46</w:t>
      </w:r>
    </w:p>
    <w:p>
      <w:r>
        <w:t>Bundesgericht (BGE), 1957-01-01, FR</w:t>
      </w:r>
    </w:p>
    <w:p>
      <w:r>
        <w:rPr>
          <w:b/>
        </w:rPr>
        <w:t xml:space="preserve">Quelle: </w:t>
      </w:r>
      <w:r>
        <w:t>https://mcp.opencaselaw.ch/entscheid/bge_BGE_83_III_46</w:t>
      </w:r>
    </w:p>
    <w:p>
      <w:r>
        <w:t>FR: ATF 83 III 46</w:t>
      </w:r>
    </w:p>
    <w:p>
      <w:r>
        <w:t>IT: DTF 83 III 46</w:t>
      </w:r>
    </w:p>
    <w:p>
      <w:pPr>
        <w:pStyle w:val="Heading2"/>
      </w:pPr>
      <w:r>
        <w:t>Regeste</w:t>
      </w:r>
    </w:p>
    <w:p>
      <w:r>
        <w:t>Regeste Arrest. Dritteigentumsansprache (Art. 275 und 98 SchK G). 1. Ob der Arrestgegenstand in amtliche Verwahrung zu nehmen sei, bestimmt sich nach Art. 98 SchKG. Darüber zu entscheiden, steht nur dem Betreibungsamte zu, auch bei Hängigkeit eines Widerspruchsverfahrens. 2. Die amtliche Inverwahrungnahme ist unzulässig, wenn sich der Gegenstand im Gewahrsam des Drittansprechers befindet. 3. An eine Weisung der Arrestbehörde, die zu arrestierende Sache in amtliche Verwahrung zu nehmen, ist das Betreibungsamt nicht gebunden.</w:t>
      </w:r>
    </w:p>
    <w:p>
      <w:r>
        <w:t>Regeste Séquestre. Revendication (art. 275 et 98 LP). 1. La question de savoir si l'office doit prendre sous sa garde l'objet séquestré est régie par l'art. 98 LP; l'office est seul compétent pour la trancher, alors même qu'une procédure de revendication est pendante. 2. L'office ne peut prendre l'objet séquestré sous sa garde lorsque celui-ci est en possession du tiers revendiquant. 3. L'office n'est pas lié par l'ordre que lui donne l'autorité de séquestre de prendre sous sa garde l'objet à séquestrer.</w:t>
      </w:r>
    </w:p>
    <w:p>
      <w:r>
        <w:t>Regesto Sequestro. Rivendicazione (art. 275 e 98 LEF). 1. Per la questione se l'ufficio debba prendere in custodia gli oggetti sequestrati è determinante l'art. 98 LEF; soltanto l'ufficio è competente a deciderla, quand'anche sia pendente una procedura di rivendicazione. 2. L'ufficio non può prendere in custodia l'oggetto sequestrato se esso è custodito dal terzo rivendicante. 3. L'ufficio non è vincolato dall'ordine impartitogli dall'autorità di sequestro di prendere in custodia l'oggetto da sequestrare.</w:t>
      </w:r>
    </w:p>
    <w:p>
      <w:pPr>
        <w:pStyle w:val="Heading2"/>
      </w:pPr>
      <w:r>
        <w:t>Erwägungen</w:t>
      </w:r>
    </w:p>
    <w:p>
      <w:r>
        <w:rPr>
          <w:b/>
        </w:rPr>
        <w:t>E. 1</w:t>
      </w:r>
    </w:p>
    <w:p>
      <w:r>
        <w:t>Aux termes de l'art. 275 LP, l'exécution du séquestre a lieu selon les formes prescrites pour la saisie aux art. 91 à 109 ; l'art. 98 LP, qui règle la mise des objets saisis sous la garde de l'office, est dès lors applicable en matière de séquestre (RO 82 III 122). Suivant la jurisprudence (RO, Edition spéciale des arrêts concernant la LP, 16 [1913], 29, 109 ss.), l'office ne peut prendre sous sa garde des objets saisis qui sont en possession du tiers revendiquant; il est seul compétent pour trancher cette question, alors même qu'une procédure en revendication est pendante à leur sujet. Si le résumé qui précède l'arrêt RO 54 III 131 indique que "le fait que l'objet séquestré est revendiqué par un tiers comme sa propriété ne constitue pas pour l'office un motif de renoncer à prendre ledit objet sous sa garde", les motifs précisent (consid. 2, p. 135) que c'est le cas seulement lorsque le bien revendiqué est en possession du débiteur séquestré. En l'espèce, la voiture n'était pas en possession de Brodsky, mais a été séquestrée en mains de Piola, qui est titulaire du permis de circulation. Il s'ensuit que la mise sous la garde de l'office ne peut être ordonnée.</w:t>
      </w:r>
    </w:p>
    <w:p>
      <w:r>
        <w:rPr>
          <w:b/>
        </w:rPr>
        <w:t>E. 2</w:t>
      </w:r>
    </w:p>
    <w:p>
      <w:r>
        <w:t>Contrairement à l'opinion exprimée dans la décision attaquée, le fait que l'autorité de séquestre a non seulement ordonné le séquestre de la voiture mais a prescrit de "procéder à son enlèvement" ne saurait obliger l'office à la prendre sous sa garde, alors qu'elle n'est pas en possession du débiteur. Cet ordre ne lie pas l'office qui est seul compétent pour décider, le cas échéant, l'application BGE 83 III 46 S. 48 de la mesure prévue à l'art. 98 LP et qui ne peut le faire que lors de l'exécution du séquestre; c'est en effet seulement à ce moment que se pose la question de la mise des biens séquestrés sous la garde de l'office. L'autorité de séquestre ne peut de même ordonner le séquestre d'objets qui s'avèrent insaisissables ou l'emploi de la contrainte pour obtenir la production d'un bien séquestré contre un tiers qui conteste l'avoir en sa possession (RO 60 III 141 ss.). Dispositiv Par ces motifs, la Chambre des poursuites et des faillites Admet le recours et annule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