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83 III 15</w:t>
      </w:r>
    </w:p>
    <w:p>
      <w:r>
        <w:t>Bundesgericht (BGE), 1957-01-08, FR</w:t>
      </w:r>
    </w:p>
    <w:p>
      <w:r>
        <w:rPr>
          <w:b/>
        </w:rPr>
        <w:t xml:space="preserve">Quelle: </w:t>
      </w:r>
      <w:r>
        <w:t>https://mcp.opencaselaw.ch/entscheid/bge_BGE_83_III_15</w:t>
      </w:r>
    </w:p>
    <w:p>
      <w:r>
        <w:t>FR: ATF 83 III 15</w:t>
      </w:r>
    </w:p>
    <w:p>
      <w:r>
        <w:t>IT: DTF 83 III 15</w:t>
      </w:r>
    </w:p>
    <w:p>
      <w:pPr>
        <w:pStyle w:val="Heading2"/>
      </w:pPr>
      <w:r>
        <w:t>Regeste</w:t>
      </w:r>
    </w:p>
    <w:p>
      <w:r>
        <w:t>Regeste Zustellung des Zahlungsbefehls (Art. 72 SchK G). Fehlen einer Zustellungsbescheinigung auf dem für den Schuldner bestimmten Exemplar. Folgen.</w:t>
      </w:r>
    </w:p>
    <w:p>
      <w:r>
        <w:t>Regeste Notification du commandement de payer (art. 72 LP). Absence de procès-verbal de notification sur l'exemplaire destiné au débiteur. Conséquences.</w:t>
      </w:r>
    </w:p>
    <w:p>
      <w:r>
        <w:t>Regesto Notificazione del precetto esecutivo (art. 72 LEF). Mancanza dell'attestazione di notificazione sull'esemplare destinato al debitore. Conseguenze.</w:t>
      </w:r>
    </w:p>
    <w:p>
      <w:pPr>
        <w:pStyle w:val="Heading2"/>
      </w:pPr>
      <w:r>
        <w:t>Erwägungen</w:t>
      </w:r>
    </w:p>
    <w:p>
      <w:r>
        <w:rPr>
          <w:b/>
        </w:rPr>
        <w:t>E. 1</w:t>
      </w:r>
    </w:p>
    <w:p>
      <w:r>
        <w:t>Aux termes de l'art. 72 al. 2 LP, celui qui procède à la notification d'un commandement de payer doit attester sur chaque exemplaire le jour où elle a eu lieu et la personne à laquelle l'acte a été remis. Lorsque cette dernière indication fait défaut, la notification n'en est pas moins valable, pourvu que l'on puisse établir qu'elle a été régulière (RO 35 I 871, consid. 2). En outre, une notification contraire à la loi n'entraîne point, en principe, l'annulation du commandement de payer si le débiteur a néanmoins reçu personnellement cet acte de poursuite (RO 54 III 250, 81 III 71). Il n'est pas prouvé, en l'occurrence, que la notification ait été régulière. L'office des poursuites reconnaît luimême, dans son rapport du 21 novembre 1956, que le commandement de payer n'a pas été notifié à Stöckli, contrairement à la mention qui figure sur l'exemplaire destiné au créancier. En outre, on n'a point établi que ce document ait été signifié à une personne habile à le recevoir au nom du débiteur. Cependant, le commandement de payer a, sans aucun doute, été délivré finalement à Stöckli, puisque celui-ci l'a BGE 83 III 15 S. 17 envoyé au notaire Delacuisine. Mais cette remise est insuffisante en l'espèce pour qu'on doive considérer cet acte de poursuite comme valable. Faute de procès-verbal de notification, en effet, le débiteur ne pouvait ni juger si la signification avait été régulière ni savoir quand elle avait eu lieu. Dans ces conditions, il lui était impossible de connaître le point de départ des délais courant dès la notification du commandement de payer. Il ne pouvait notamment savoir s'il était encore recevable à former opposition dans les dix jours selon l'art. 74 al. 1 LP ou s'il devait déclarer son opposition tardive au juge dans le délai de l'art. 77 al. 2 LP. Aussi la juridiction cantonale a-t-elle considéré avec raison qu'une procédure viciée par de telles irrégularités devait être annulée d'office.</w:t>
      </w:r>
    </w:p>
    <w:p>
      <w:r>
        <w:rPr>
          <w:b/>
        </w:rPr>
        <w:t>E. 2</w:t>
      </w:r>
    </w:p>
    <w:p>
      <w:r>
        <w:t>Le recourant soutient en outre que l'ordre donné à l'office des poursuites de notifier un nouveau commandement de payer au débiteur ne peut être exécuté, car le for de la poursuite aurait changé entre temps. Mais il est évident que cet ordre est subordonné à la condition que l'Office des poursuites de Cossonay soit resté compétent. Si ce n'est pas le cas, la décision cantonale est sans objet sur ce point et le recourant devra faire notifier le commandement de payer par l'office du nouveau domicile du débiteur ou, à défaut, par celui de son lieu de séjour (art. 46 al. 1 et 48 LP). Dispositiv Par ces motifs, la Chambre des poursuites et des faillites Rejette le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