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105</w:t>
      </w:r>
    </w:p>
    <w:p>
      <w:r>
        <w:t>Bundesgericht (BGE), 1957-11-04, DE</w:t>
      </w:r>
    </w:p>
    <w:p>
      <w:r>
        <w:rPr>
          <w:b/>
        </w:rPr>
        <w:t xml:space="preserve">Quelle: </w:t>
      </w:r>
      <w:r>
        <w:t>https://mcp.opencaselaw.ch/entscheid/bge_BGE_83_III_105</w:t>
      </w:r>
    </w:p>
    <w:p>
      <w:r>
        <w:t>FR: ATF 83 III 105</w:t>
      </w:r>
    </w:p>
    <w:p>
      <w:r>
        <w:t>IT: DTF 83 III 105</w:t>
      </w:r>
    </w:p>
    <w:p>
      <w:pPr>
        <w:pStyle w:val="Heading2"/>
      </w:pPr>
      <w:r>
        <w:t>Regeste</w:t>
      </w:r>
    </w:p>
    <w:p>
      <w:r>
        <w:t>Regeste Pfändung. Gegenstände, die der Schuldner als sein Eigentum bezeichnet, sind (soweit zur Deckung der Forderung nötig) zu pfänden, selbst wenn sie im Gewahrsam eines betreibenden Gläubigers stehen und dieser das Eigentum daran beansprucht. Vormerkung dieser Ansprache; Einleitung des Widerspruchsverfahrens.</w:t>
      </w:r>
    </w:p>
    <w:p>
      <w:r>
        <w:t>Regeste Saisie. Des objets que le débiteur indique comme étant sa propriété doivent être saisis, en tant que cela est nécessaire pour couvrir la créance, même s'ils se trouvent en la possession d'un créancier poursuivant et que celui-ci en revendique la propriété. Mention de cette revendication; introduction de la procédure de tierce opposition.</w:t>
      </w:r>
    </w:p>
    <w:p>
      <w:r>
        <w:t>Regesto Pignoramento. Oggetti che il debitore indica come di sua proprietà devono (per quanto ciò sia necessario a coprire il credito) essere pignorati, quand'anche si trovino in possesso di un creditore escutente e questi ne rivendichi la proprietà. Menzione di questa rivendicazione; promovimento della procedura di rivendicazione.</w:t>
      </w:r>
    </w:p>
    <w:p>
      <w:pPr>
        <w:pStyle w:val="Heading2"/>
      </w:pPr>
      <w:r>
        <w:t>Volltext</w:t>
      </w:r>
    </w:p>
    <w:p>
      <w:r>
        <w:t>Bundesgericht (BGE) Band III 1957 BGE 83 III 105 Tribunal fédéral (ATF) Volume III 1957 BGE 83 III 105 Tribunale federale (DTF) Volume III 1957 BGE 83 III 105</w:t>
      </w:r>
    </w:p>
    <w:p>
      <w:r>
        <w:t>Regeste Pfändung. Gegenstände, die der Schuldner als sein Eigentum bezeichnet, sind (soweit zur Deckung der Forderung nötig) zu pfänden, selbst wenn sie im Gewahrsam eines betreibenden Gläubigers stehen und dieser das Eigentum daran beansprucht. Vormerkung dieser Ansprache; Einleitung des Widerspruchsverfahrens. Regeste Saisie. Des objets que le débiteur indique comme étant sa propriété doivent être saisis, en tant que cela est nécessaire pour couvrir la créance, même s'ils se trouvent en la possession d'un créancier poursuivant et que celui-ci en revendique la propriété. Mention de cette revendication; introduction de la procédure de tierce opposition. Regesto Pignoramento. Oggetti che il debitore indica come di sua proprietà devono (per quanto ciò sia necessario a coprire il credito) essere pignorati, quand'anche si trovino in possesso di un creditore escutente e questi ne rivendichi la proprietà. Menzione di questa rivendicazione; promovimento della procedura di rivendicazione.</w:t>
      </w:r>
    </w:p>
    <w:p>
      <w:r>
        <w:t>Urteilskopf 83 III 105 27. Auszug aus dem Entscheid vom 4. November 1957 i.S. Kopp. Regeste Pfändung. Gegenstände, die der Schuldner als sein Eigentum bezeichnet, sind (soweit zur Deckung der Forderung nötig) zu pfänden, selbst wenn sie im Gewahrsam eines betreibenden Gläubigers stehen und dieser das Eigentum daran beansprucht. Vormerkung dieser Ansprache; Einleitung des Widerspruchsverfahrens. Erwägungen ab Seite 105 BGE 83 III 105 S. 105 Nachdem die Rekurrentin und Frau Gross das Fortsetzungsbegehren gestellt hatten und die am 5. Juli 1957 beim Schuldner vollzogene Pfändung keine genügende Deckung ergeben hatte, musste das Betreibungsamt Teufen auf die Angabe des Schuldners hin, dass ein Teil des bei seiner (getrennt lebenden) Ehefrau, der Rekurrentin, befindlichen Hausrates ihm gehöre, durch das gemäss Art. 89 SchKG örtlich zuständige Betreibungsamt St. Gallen abklären lassen, ob in der Wohnung der Rekurrentin Gegenstände vorhanden seien, die für die Gläubiger des Schuldners gepfändet werden können. Der Schuldner hat Anspruch darauf, dass die von ihm als sein Eigentum bezeichneten Gegenstände bis zur vollen Deckung der in Betreibung gesetzten Forderungen gepfändet werden, da BGE 83 III 105 S. 106 er sich die Ausstellung eines Verlustscheins (sei es auch nur eines provisorischen gemäss Art. 115 Abs. 2 SchKG ) nicht gefallen lassen muss, wenn er über genügend pfändbare Aktiven verfügt ( BGE 52 III 163 ). Dieser Grundsatz gilt auch dann, wenn die in Frage stehenden Gegenstände sich beim Gläubiger befinden und dieser das Eigentum daran geltend macht (vgl. den eben genannten Entscheid). Wenn bei JAEGER/DAENIKER an der von der Rekurrentin angerufenen Stelle (N. 7 zu Art. 91 SchKG , S. 166) gesagt wird, dass Gegenstände, an denen jemand Eigentum für sich beansprucht, für ihn als Gläubiger nur dann gepfändet und verwertet werden dürfen, wenn er auf sein Eigentum verzichtet, so kann dies, wie durch die zum Beleg angeführten Präjudizien (BGE 39 I Nr. 15 = Sep. Ausg. 16 Nr. 1; ZBJV 48 S. 253) bestätigt wird, bloss den Sinn haben, dass der Gläubiger die Pfändung eines von ihm zu Eigentum angesprochenen Gegenstandes nur unter der erwähnten Voraussetzung verlangen kann. Im vorliegenden Falle hat nicht ein Gläubiger ein solches Begehren gestellt, sondern der Schuldner auf das Vorhandensein pfändbarer Gegenstände im Gewahrsam einer der beiden Gläubigerinnen hingewiesen. Das Betreibungsamt Teufen war daher verpflichtet, bei dieser die Pfändung vollziehen zu lassen, obwohl sie hiegegen unter Berufung auf ihr Eigentum an den zu pfändenden Gegenständen Einspruch erhoben hatte. Zur materiellrechtlichen Frage, ob die Rekurrentin wirklich Eigentümerin des bei ihr befindlichen Hausrates sei, hatte es nicht Stellung zu nehmen. Vielmehr musste es sich damit begnügen, die angemeldeten Eigentumsansprüche vorzumerken und das Widerspruchsverfahren einzuleiten. Dabei hat es mit Recht berücksichtigt, dass die Rekurrentin, nach dem im Sinne von Art. 8 Abs. 3 SchKG beweiskräftigen Pfändungsprotokoll des Betreibungsamtes St. Gallen zu schliessen, beim Pfändungsvollzug nicht mehr den ganzen Hausrat, sondern nur noch einen Teil davon als ihr Eigentum bezeichnet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