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93</w:t>
      </w:r>
    </w:p>
    <w:p>
      <w:r>
        <w:t>Bundesgericht (BGE), 1956-01-01, FR</w:t>
      </w:r>
    </w:p>
    <w:p>
      <w:r>
        <w:rPr>
          <w:b/>
        </w:rPr>
        <w:t xml:space="preserve">Quelle: </w:t>
      </w:r>
      <w:r>
        <w:t>https://mcp.opencaselaw.ch/entscheid/bge_BGE_82_I_93</w:t>
      </w:r>
    </w:p>
    <w:p>
      <w:r>
        <w:t>FR: ATF 82 I 93</w:t>
      </w:r>
    </w:p>
    <w:p>
      <w:r>
        <w:t>IT: DTF 82 I 93</w:t>
      </w:r>
    </w:p>
    <w:p>
      <w:pPr>
        <w:pStyle w:val="Heading2"/>
      </w:pPr>
      <w:r>
        <w:t>Regeste</w:t>
      </w:r>
    </w:p>
    <w:p>
      <w:r>
        <w:t>Regeste Gewaltentrennung. Staatsrechtliche Beschwerde wegen Verletzung des Grundsatzes der Gewaltentrennung gegen den Erlass eines Regierungsrates, durch den das Inkrafttreten einer Gesetzesbestimmung aufgeschoben wird. a) Legitimiert zur staatsrechtlichen Beschwerde ist, wer - und sei es bloss virtuell - unter den Erlass fällt, nicht dagegen, wer durch ihn in keiner Weise in seiner Rechtslage betroffen wird (Erw. 1). b) Der Regierungsrat greift nicht in die gesetzgebende Gewalt des Grossen Rates ein, wenn er das Inkrafttreten einer wegen der Haltung einer eidgenössischen Behörde unausführbaren Gesetzesbestimmung aufschiebt und dem Grossen Rat den Entwurf einer neuen Bestimmung vorlegt, welche die unausführbare Bestimmmmung ersetzen soll (Erw. 2).</w:t>
      </w:r>
    </w:p>
    <w:p>
      <w:r>
        <w:t>Regeste Séparation des pouvoirs. Recours de droit public contre un arrêté du Conseil d'Etat suspendant la mise en vigueur d'un article d'une loi. Défaut de qualité pour agir de citoyens qui ne sont pas atteints dans leurs intérêts juridiquement protégés. Qualité pour former un recours de droit public de citoyennes qui subissent une atteinte virtuelle à leurs droits (consid. 1). Le Conseil d'Etat n'empiète pas sur la compétence législative du Grand Conseil en suspendant la mise en vigueur d'une disposition légale qui ne peut pas être exécutée en raison de la position de l'autorité fédérale et en soumettant au Grand Conseil le projet d'un nouvel article destiné à remplacer celui qui est inexécutable (consid. 2).</w:t>
      </w:r>
    </w:p>
    <w:p>
      <w:r>
        <w:t>Regesto Separazione dei poteri. Ricorso di diritto pubblico contro un decreto del Consiglio di Stato che sospende l'entrata in vigore di un articolo di legge. Mancanza della veste per agire di cittadini che non sono lesi nei loro interessi giuridicamente protetti. Diritto di ricorrere di cittadine che sono colpite, virtualmente, nei loro diritti (consid. 1). Il Consiglio di Stato non viola la competenza legislativa del Gran Consiglio se sospende l'entrata in vigore di una disposizione legale che non può essere eseguita a motivo della posizione dell'autorità federale e sottopone al Gran Consiglio un disegno di nuovo articolo destinato a sostituire quello che è ineseguibile (consid. 2).</w:t>
      </w:r>
    </w:p>
    <w:p>
      <w:pPr>
        <w:pStyle w:val="Heading2"/>
      </w:pPr>
      <w:r>
        <w:t>Erwägungen</w:t>
      </w:r>
    </w:p>
    <w:p>
      <w:r>
        <w:rPr>
          <w:b/>
        </w:rPr>
        <w:t>E. 1</w:t>
      </w:r>
    </w:p>
    <w:p>
      <w:r>
        <w:t>a) Dupont-Willemin, Felice, Ganter et Oppliger prétendent posséder la qualité pour former un recours de droit public contre l'arrêté du 17 février 1956 parce qu'ils ont, en tant que députés et citoyens, "le plus grand intérêt à ce que les lois et constitutions cantonales et BGE 82 I 93 S. 97 fédérales soient respectées". Cette opinion n'est pas fondée. Le recours de droit public n'est pas une voie de droit créant une action populaire pour assurer la défense de l'intérêt public; il est un moyen de droit destiné à protéger le particulier contre les atteintes portées par la puissance publique à ses intérêts juridiquement protégés (RO 72 I 98, 66 I 262). La sauvegarde de l'intérêt d'ordre général que possède la collectivité publique au respect de la constitution et des lois incombe aux autorités compétentes et non aux particuliers. On peut déduire, il est vrai, des motifs invoqués par les recourants qu'ils entendent se plaindre d'une violation du principe de la séparation des pouvoirs: ils font valoir que le Conseil d'Etat s'est arrogé le droit de suspendre l'effet d'une disposition légale régulièrement adoptée par le Grand Conseil, alors que c'est à celui-ci que la constitution cantonale attribue la puissance législative. Cependant, la qualité pour attaquer par la voie du recours de droit public un arrêté du Conseil d'Etat pris en violation du principe de la séparation des pouvoirs n'appartient qu'à celui qui est atteint par cet acte dans ses intérêts juridiquement protégés (KIRCHHOFER, Über die Legitimation zum staatsrechtlichen Rekurs, p. 152). En l'espèce, les quatre recourants de sexe masculin ne sont pas lésés par la suspension d'une disposition accordant aux Genevoises la faculté de conserver leur droit de cité genevois en cas de mariage avec un confédéré; ils ne le prétendent d'ailleurs pas. Ils n'allèguent pas non plus que, en tant que citoyens ayant le droit de vote, ils auraient la qualité pour former un recours de droit public fondé sur le motif que l'acte attaqué aurait été soustrait indûment au vote populaire (RO 76 I 24, 74 I 113; KIRCHHOFER, op.cit. p. 153 ss.). Une votation du peuple ne peut en effet porter que sur la loi elle-même si le referendum est demandé, et non, après l'expiration du délai utile à cet effet, sur la question de son entrée en vigueur. Dans l'arrêté de publication de la loi sur la nationalité genevoise, du 20 BGE 82 I 93 S. 98 décembre 1955, le Conseil d'Etat a expressément déclaré qu'elle était soumise au referendum facultatif et que le délai pour le demander expirait le 26 janvier 1956. C'est après que cette échéance fut passée sans qu'un referendum ait été lancé que le Conseil d'Etat a promulgué la loi pour qu'elle devînt exécutoire dans les trente jours. Par ailleurs, si le Grand Conseil se rallie à la proposition du gouvernement et modifie l'art. 49 de la loi, la nouvelle disposition ne sera soumise au referendum facultatif qu'après son adoption et sa publication. Les recourants se bornent en définitive à faire valoir que le Conseil d'Etat a empiété sur la compétence du Grand Conseil et que l'arrêté entrepris viole l'art. 82 de la constitution cantonale. Ils n'ont cependant pas la qualité pour former un recours de droit public fondé sur ce moyen ni comme citoyens ni comme membres du Grand Conseil. C'est en effet au Grand Conseil qu'il incombe de se défendre contre les empiétements des autres pouvoirs dans ses attributions; il est vrai qu'il ne dispose pas à cette fin du recours de droit public, lequel n'est pas ouvert aux autorités lorsqu'elles agissent comme organes de l'Etat (RO 54 I 140/141, 49 I 462). En outre, les membres du Grand Conseil n'ont pas la qualité pour exercer un recours de droit public lorsqu'une autre autorité empiète sur sa compétence, car ils ne subissent pas d'atteinte dans leurs droits individuels (RO 55 I 111). Dupont-Willemin, Felice, Ganter et Oppliger ne possédant pas la qualité pour agir, leur recours n'est pas recevable. b) L'arrêté attaqué lèse en revanche les intérêts juridiquement protégés de dame Rosselet et dlles Mercier et Wend, car elles pourraient épouser des citoyens suisses originaires d'autres cantons: comme elles possèdent le droit de cité du canton de Genève, elles auraient la faculté de le conserver, si l'art. 49 LNG était entré en vigueur le 1er mars 1956 dans la teneur adoptée par le Grand Conseil. Selon la jurisprudence (RO 65 I 241 et les arrêts BGE 82 I 93 S. 99 cités), le recours de droit public contre un arrêté de portée générale est recevable lorsque les dispositions que le recourant estime contraires à la constitution peuvent dans l'avenir léser ses droits; il suffit que l'atteinte soit virtuelle. Le Conseil d'Etat fait valoir, par ailleurs, que les trois recourantes ne possèdent pas la qualité pour exercer en l'espèce un recours de droit public parce qu'elles ne sauraient être lésées dans leurs intérêts juridiquement protégé par un arrêté suspendant la mise en vigueur d'une disposition du droit cantonal incompatible avec le droit fédéral. Cette argumentation n'est cependant pas fondée. Les recourantes contestent en effet que l'art. 49 LNG soit contraire au droit fédéral et prétendent qu'il est arbitraire de l'admettre. Le différend porte précisément sur la question de savoir si le Conseil d'Etat avait le droit de prendre l'arrêté entrepris. Ce point concerne le fond du droit et non pas la recevabilité du recours. En tant qu'elles se plaignent d'une violation du principe de la séparation des pouvoirs et d'un arbitraire, les recourantes ont la qualité pour former un recours de droit public, car elles subissent une atteinte virtuelle dans leurs intérêts juridiquement protégés. En revanche, cette qualité leur manque dans la mesure où elles invoquent une violation de l'art. 82 de la constitution genevoise comme norme réglant une compétence du Conseil d'Etat, savoir celle de promulguer les lois et de pourvoir à leur exécution, car cette disposition a un caractère strictement organique et n'institue pas un droit individuel susceptible de bénéficier de la protection assurée par le recours de droit public (RO 72 I 11, 48 I 83 consid. 3; KIRCHHOFER, op.cit., p. 147).</w:t>
      </w:r>
    </w:p>
    <w:p>
      <w:r>
        <w:rPr>
          <w:b/>
        </w:rPr>
        <w:t>E. 2</w:t>
      </w:r>
    </w:p>
    <w:p>
      <w:r>
        <w:t>Les recourantes font valoir, si ce n'est expressément, du moins implicitement, que le Conseil d'Etat a empiété sur la compétence législative qui appartient au Grand Conseil en s'arrogeant le droit de suspendre la mise en vigueur d'une disposition légale régulièrement BGE 82 I 93 S. 100 votée par celui-ci. Dans le cadre de ce moyen tiré de la violation du principe de la séparation des pouvoirs, l'art. 82 de la constitution genevoise peut être invoqué. Cette disposition a la teneur suivante: "Le Conseil d'Etat promulgue les lois; il est chargé de leur exécution et prend à cet effet les arrêtés nécessaires". Il s'agit de savoir si le Conseil d'Etat a outrepassé les pouvoirs qui lui sont conférés par cet article. Cette question ne peut être examinée que sous l'angle de l'arbitraire. A la suite de la lettre du Département fédéral de justice et police du 13 février 1956, le gouvernement genevois s'est trouvé devant une difficulté au sujet de l'exécution de la loi sur la nationalité votée par le Grand Conseil: l'art. 49 LNG s'est avéré inexécutable en dehors du territoire du canton notamment en raison du fait que, en l'absence de dispositions de l'ordonnance fédérale sur l'état civil prévoyant leur coopération, les officiers de l'état civil des autres cantons et les représentants diplomatiques ou consulaires suisses à l'étranger n'ont pas à prêter leur concours pour faire les communications indispensables à l'exécution de la disposition; en outre, alors que cette collaboration est nécessaire pour que la nouvelle institution puisse sortir ses effets en cas de mariage célébré dans un autre canton ou à l'étranger, l'autorité fédérale a déclaré que le régime de l'état civil ne serait pas modifié pour permettre la mise à exécution de la loi genevoise. Placé devant cette situation, le Conseil d'Etat s'est rendu compte qu'il était impossible d'exécuter l'art. 49 LNG dans la teneur adoptée par le Grand Conseil. Comme les aménagements indispensables à l'exécution de cette disposition ne dépendaient pas de lui mais de l'autorité fédérale et que celle-ci exprimait d'emblée son intention de ne pas y pourvoir, le gouvernement genevois a estimé devoir suspendre la mise en vigueur de l'institution et proposer simultanément au Grand Conseil de modifier la loi. Par là, il n'a pas procédé à un acte ressortissant à la législation: il n'a pas abrogé l'art. 49 LNG et ne BGE 82 I 93 S. 101 lui a pas substitué une autre disposition; il a, au contraire, reconnu expressément la compétence exclusive du Grand Conseil pour modifier la loi et lui a soumis le projet d'un nouvel article destiné à remplacer celui qui s'avérait inexécutable. En prenant l'arrêté attaqué, le Conseil d'Etat a agi dans les limites de ses attributions et s'est borné, en qualité d'autorité chargée de l'exécution des lois, à suspendre la mise en vigueur de l'art. 49 LNG. Il s'agit là d'une mesure temporaire décidée pour permettre au Grand Conseil de reconsidérer cet article après avoir pris connaissance de la position de l'autorité fédérale et des motifs pour lesquels il ne peut pas être exécuté. Il suit de là que le Conseil d'Etat n'a pas empiété sur la compétence législative du Grand Conseil et que son arrêté n'est pas entaché d'arbitraire. Les recourantes font valoir que l'art. 49 LNG n'est pas incompatible avec le droit fédéral et n'est pas contraire aux art. 54 al. 4 Cst. et 161 CC. Elles prétendent que ces dispositions statuent uniquement que la femme acquiert par le mariage le droit de cité et de bourgeoisie de son mari mais non pas qu'elle doit de ce fait perdre le sien; à leur avis, ces règles du droit fédéral n'ont que des effets positifs et non négatifs. Cette question peut cependant rester indécise: ce n'est pas en raison d'un conflit entre l'art. 49 LNG et le droit fédéral que le Conseil d'Etat a pu, sans outrepasser les pouvoirs fixés par l'art. 82 de la constitution genevoise, suspendre la mise en vigueur de cette disposition, mais parce que son exécution s'est avérée impossible eu égard aux prescriptions fédérales sur l'état civil. Le gouvernement genevois ne s'est pas arrogé la compétence, qui ne saurait lui appartenir, de ne pas promulguer ou de ne pas exécuter en général une loi qu'il estimerait contraire au droit fédéral; il s'est borné à suspendre la mise en vigueur d'une règle légale inexécutable en raison de l'impossibilité d'obtenir la coopération indispensable des autorités de l'état civil et du refus du Département fédéral de justice et police d'apporter à BGE 82 I 93 S. 102 l'ordonnance sur l'état civil les modifications nécessaires à l'exécution de la disposition.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