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72</w:t>
      </w:r>
    </w:p>
    <w:p>
      <w:r>
        <w:t>Bundesgericht (BGE), 1956-03-21, DE</w:t>
      </w:r>
    </w:p>
    <w:p>
      <w:r>
        <w:rPr>
          <w:b/>
        </w:rPr>
        <w:t xml:space="preserve">Quelle: </w:t>
      </w:r>
      <w:r>
        <w:t>https://mcp.opencaselaw.ch/entscheid/bge_BGE_82_I_72</w:t>
      </w:r>
    </w:p>
    <w:p>
      <w:r>
        <w:t>FR: ATF 82 I 72</w:t>
      </w:r>
    </w:p>
    <w:p>
      <w:r>
        <w:t>IT: DTF 82 I 72</w:t>
      </w:r>
    </w:p>
    <w:p>
      <w:pPr>
        <w:pStyle w:val="Heading2"/>
      </w:pPr>
      <w:r>
        <w:t>Regeste</w:t>
      </w:r>
    </w:p>
    <w:p>
      <w:r>
        <w:t>Regeste Art. 32 quater BV. Verweigerung einer Dancingbewilligung gestützt auf die Bedürfnisklausel.</w:t>
      </w:r>
    </w:p>
    <w:p>
      <w:r>
        <w:t>Regeste Art. 32 quaterCst. Refus de l'autorisation pour l'ouverture d'un dancing, argument pris de l'absence d'un besoin selon les règles applicables en matière de débits de boissons alcooliques.</w:t>
      </w:r>
    </w:p>
    <w:p>
      <w:r>
        <w:t>Regesto Art. 32 quaterCF. Rifiuto dell'autorizzazione di apertura di un "dancing", basato sulla clausola della necessità.</w:t>
      </w:r>
    </w:p>
    <w:p>
      <w:pPr>
        <w:pStyle w:val="Heading2"/>
      </w:pPr>
      <w:r>
        <w:t>Erwägungen</w:t>
      </w:r>
    </w:p>
    <w:p>
      <w:r>
        <w:rPr>
          <w:b/>
        </w:rPr>
        <w:t>E. 1</w:t>
      </w:r>
    </w:p>
    <w:p>
      <w:r>
        <w:t>Die erwähnte Verordnung geht davon aus, dass das Tanzen in Wirtschaften grundsätzlich verboten ist, und umschreibt die Voraussetzungen, unter denen es ausnahmsweise zugelassen ist. Die Frage, ob sich dieses grundsätzliche BGE 82 I 72 S. 73 Verbot nicht nur an das Gastwirtschaftsgewerbe richte, sondern eine rechtliche Schranke allgemeiner Natur darstelle, die von vornherein auch der in Art. 31 BV geschützten Handels- und Gewerbefreiheit gesetzt sei ( BGE 69 I 178 ), kann offen bleiben, da die Verweigerung der Dancingbewilligung an den Beschwerdeführer ohnehin nicht gegen Art. 31 BV verstösst.</w:t>
      </w:r>
    </w:p>
    <w:p>
      <w:r>
        <w:rPr>
          <w:b/>
        </w:rPr>
        <w:t>E. 2</w:t>
      </w:r>
    </w:p>
    <w:p>
      <w:r>
        <w:t>Die Handels- und Gewerbefreiheit ist nur soweit gewährleistet, als sie nicht durch die Bundesverfassung und die auf ihr beruhende Gesetzgebung eingeschränkt ist ( Art. 31 Abs. 1 BV ). Nach Art. 32 quater BV können die Kantone auf dem Wege der Gesetzgebung die Ausübung des Wirtschaftsgewerbes den durch das öffentliche Wohl geforderten Beschränkungen unterwerfen. Damit wird ihnen zwecks Bekämpfung des Alkoholismus die Befugnis eingeräumt, für die Alkoholwirtschaften die Bedürfnisklausel einzuführen. Der Kanton Luzern hat diese in das Gesetz betreffend das Wirtschaftsgewerbe und den Handel mit geistigen Getränken vom 26. Januar 1937 (WG) aufgenommen. Realwirtsrechte werden überhaupt nicht mehr erteilt ( § 5 Abs. 1 WG ) und Personalwirtschaftspatente nur, wenn die Wirtschaft einem Bedürfnis entspricht ( § 22 WG ). Auch die Erweiterung der zu Konsumationszwecken benützten Räumlichkeiten ist vom Bedürfnis abhängig gemacht (§ 7 Abs. 1 Satz 1 &amp; § 31 Abs. 1 Satz 1 WG ). Der Regierungsrat erachtet eine bewilligungspflichtige Erweiterung des Wirtschaftsbetriebes nicht nur dann als gegeben, wenn die Räumlichkeiten erweitert werden, sondern auch dann, wenn infolge einer Änderung der bisherigen Zweckbestimmung eines Konsumationsraumes die Betriebsintensität und damit der Alkoholkonsum gesteigert wird. Diese Auslegung entspricht dem Sinn und Zweck der Bedürfnisklausel, aber auch dem allgemein anerkannten Grundsatz, dass die Verwaltungsbehörde auf eine Bewilligung zurückkommen kann, falls die äusseren oder inneren Verhältnisse, mit Rücksicht auf die sie erteilt wurde, eine wesentliche Änderung erfahren. Unter dem beschränkten BGE 82 I 72 S. 74 Gesichtswinkel der Willkür ( Art. 4 BV ), unter dem die Auslegung kantonalen Rechtes ausschliesslich überprüft werden kann, ist die Auffassung des Regierungsrates jedenfalls nicht zu beanstanden (vgl. die nicht veröffentlichten Urteile vom 8. Februar 1956 i.S. Regli und vom 21. März 1956 i.S. Immobilien Schwanen A.-G.). Mithin darf sich der Regierungsrat zur Stützung des angefochtenen Entscheides auf die Bedürfnisklausel berufen; denn die Umwandlung eines ausschliesslich der Konsumation dienenden Raumes in einen Dancingraum verändert seine bisherige Zweckbestimmung und hat eine Steigerung der Betriebsintensität und damit auch des Alkoholkonsums zur Folge. Dass der Beschwerdeführer durch die Anwendung der Bedürfnisklausel gegenüber den Gesuchstellern, denen die Dancingbewilligung erteilt wurde, rechtsungleich behandelt werde ( Art. 4 BV ), behauptet er selbst nicht. Er erhebt die Rüge der Verletzung der Rechtsgleichheit nur, soweit sich der Regierungsrat für die Ablehnung seines Gesuches auf die Wahrung der Nachtruhe beruft. Ebensowenig rügt der Beschwerdeführer die Auffassung des Regierungsrates, es fehle hier an einem Bedürfnis. Er nimmt lediglich den Standpunkt ein, die Bedürfnisfrage dürfe überhaupt nicht aufgeworfen werden. Die Verweigerung der Dancingbewilligung an den Beschwerdeführer verletzt also weder Art. 31 noch Art. 4 BV . Die Rüge der Verletzung der §§ 10, 45, 51 und 59 KV ist hinfällig; denn sie richtet sich ausschliesslich gegen die Tanzverordnung, auf die der angefochtene Entscheid nach dem Gesagten nicht gestützt zu werden braucht. Die Beschwerde ist somit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