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67</w:t>
      </w:r>
    </w:p>
    <w:p>
      <w:r>
        <w:t>Bundesgericht (BGE), 1956-07-11, DE</w:t>
      </w:r>
    </w:p>
    <w:p>
      <w:r>
        <w:rPr>
          <w:b/>
        </w:rPr>
        <w:t xml:space="preserve">Quelle: </w:t>
      </w:r>
      <w:r>
        <w:t>https://mcp.opencaselaw.ch/entscheid/bge_BGE_82_I_67</w:t>
      </w:r>
    </w:p>
    <w:p>
      <w:r>
        <w:t>FR: ATF 82 I 67</w:t>
      </w:r>
    </w:p>
    <w:p>
      <w:r>
        <w:t>IT: DTF 82 I 67</w:t>
      </w:r>
    </w:p>
    <w:p>
      <w:pPr>
        <w:pStyle w:val="Heading2"/>
      </w:pPr>
      <w:r>
        <w:t>Regeste</w:t>
      </w:r>
    </w:p>
    <w:p>
      <w:r>
        <w:t>Regeste Strafprozess: Die Befristung eines Rechtsmittels hat ordentlicherweise den Sinn, dass derjenigen Partei, der das Rechtsmittel zusteht, die Frist, die das Gesetz gewährt, ganz zur Verfügung steht.</w:t>
      </w:r>
    </w:p>
    <w:p>
      <w:r>
        <w:t>Regeste Procédure pénale: Lorsque la loi subordonne la recevabilité d'un recours à l'observation d'un délai, il faut admettre en principe que le recourant dispose de toute la durée du délai légal.</w:t>
      </w:r>
    </w:p>
    <w:p>
      <w:r>
        <w:t>Regesto Procedura penale: Quando la legge fa dipendere la ricevibilità di un rimedio legale dall'osservanza di un termine, occore ammettere, di regola, che la parte cui il rimedio è concesso dispone di tutta la durata del termine.</w:t>
      </w:r>
    </w:p>
    <w:p>
      <w:pPr>
        <w:pStyle w:val="Heading2"/>
      </w:pPr>
      <w:r>
        <w:t>Erwägungen</w:t>
      </w:r>
    </w:p>
    <w:p>
      <w:r>
        <w:rPr>
          <w:b/>
        </w:rPr>
        <w:t>E. 1</w:t>
      </w:r>
    </w:p>
    <w:p>
      <w:r>
        <w:t>Art. 40 Abs. 1 StPO schreibt vor, dass das schriftliche Urteil innert 5 Tagen abzufassen ist, wenn die Kassationsfrist 10 Tage beträgt, und in 10 Tagen bei 20tägiger Kassationsfrist. Damit werden dem Verurteilten bei lotägiger Kassationsfrist fünf Tage, bei 20tägiger 10 Tage zur Prüfung des begründeten Urteils und zur Geltendmachung allfälliger Kassationsgründe zur Verfügung gestellt. Hier handelt es sich um eine Beschwerdefrist von 10 Tagen. Die Befristung eines Rechtsmittels hat ordentlicherweise den Sinn, dass derjenigen Partei, der das Rechtsmittel BGE 82 I 67 S. 71 zusteht, die Frist, die das Gesetz gewährt, ganz zur Verfügung steht. Wenn daher, wie nach der Ordnung in Art. 40 Abs. 1 StPO , die Urteilsbegründung während des Laufes der Beschwerdefrist abzufassen ist, so darf dadurch der Zeitraum, den das Gesetz dem Betroffenen einräumt, nicht verkürzt werden. Der Betroffene hat während der Frist von der Urteilsbegründung Kenntnis zu nehmen, sie zu prüfen, sich mit seinem Verteidiger zu beraten und seine Eingabe in der gesetzlichen Form auszuarbeiten und einzureichen. Hiefür bedarf er der im Gesetz vorgesehenen Frist. Er hat Anspruch darauf, dass sie ihm gewährt wird. Die Auffassung vollends, auf der das angefochtene Urteil beruht, der Verteidiger hätte sich am letzten Tage der Frist für die Kassationsbeschwerde und das bis dahin nicht vorliegende Urteil bemühen und seine Beschwerde gegen die an diesem Tage gegen Mittag endlich ausgefertigte, aber noch nicht eröffnete Urteilsbegründung erheben sollen, lässt sich mit sachlichen Gründen nicht vertreten. Art. 40 Abs. 1 StPO will die gesetzliche Frist für die Kassationsbeschwerde für die betroffene Partei im äussersten Falle hälftig teilen. Abgesehen davon, dass dem Verurteilten in jenem Zeitpunkte die Frist, auf deren Gewährung er gesetzlichen Anspruch hatte, überhaupt nicht mehr zu Verfügung stand, ist es Sache der Behörde, für die richtige Bekanntgabe des Urteils an die Partei besorgt zu sein, und nicht Sache der Partei, sich um die Einsicht in ein noch nicht eröffnetes Urteil zu bemühen.</w:t>
      </w:r>
    </w:p>
    <w:p>
      <w:r>
        <w:rPr>
          <w:b/>
        </w:rPr>
        <w:t>E. 2</w:t>
      </w:r>
    </w:p>
    <w:p>
      <w:r>
        <w:t>Hiegegen kann nicht eingewendet werden, der Beschwerdefuhrer habe ein sachliches Interesse, gegen das Sachurteil erster Instanz eine Kassationsbeschwerde einzureichen, nicht nachgewiesen. Es handelt sich um den Anspruch des Verurteilten auf Gewährung des gesetzlichen Verteidigungsrechts, also letzten Endes um den Anspruch auf rechtliches Gehör. Dieser ist nach feststehender Praxis des Bundesgerichts formeller Natur. Seine Verletzung hat die Aufhebung des angefochtenen Entscheides auch dann zur Folge, wenn der Beschwerdeführer BGE 82 I 67 S. 72 ein materielles Interesse hieran nicht nachweist, bzw. nicht nachzuweisen vermag ( BGE 76 I 182 , BGE 75 I 227 , BGE 64 I 148 /9 und dortige Zitate).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