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36</w:t>
      </w:r>
    </w:p>
    <w:p>
      <w:r>
        <w:t>Bundesgericht (BGE), 1956-01-01, DE</w:t>
      </w:r>
    </w:p>
    <w:p>
      <w:r>
        <w:rPr>
          <w:b/>
        </w:rPr>
        <w:t xml:space="preserve">Quelle: </w:t>
      </w:r>
      <w:r>
        <w:t>https://mcp.opencaselaw.ch/entscheid/bge_BGE_82_I_36</w:t>
      </w:r>
    </w:p>
    <w:p>
      <w:r>
        <w:t>FR: ATF 82 I 36</w:t>
      </w:r>
    </w:p>
    <w:p>
      <w:r>
        <w:t>IT: DTF 82 I 36</w:t>
      </w:r>
    </w:p>
    <w:p>
      <w:pPr>
        <w:pStyle w:val="Heading2"/>
      </w:pPr>
      <w:r>
        <w:t>Regeste</w:t>
      </w:r>
    </w:p>
    <w:p>
      <w:r>
        <w:t>Regeste Grundbuch. Löschung einer Grunddienstbarkeit. Voraussetzungen (Art. 964 Abs. 1 ZGB).</w:t>
      </w:r>
    </w:p>
    <w:p>
      <w:r>
        <w:t>Regeste Registre foncier. Radiation d'une servitude foncière. Conditions (art. 964 al. 1 CC).</w:t>
      </w:r>
    </w:p>
    <w:p>
      <w:r>
        <w:t>Regesto Registro fondiario. Cancellazione di una servitù fondiaria. Condizioni (art. 964 cp. 1 CC).</w:t>
      </w:r>
    </w:p>
    <w:p>
      <w:pPr>
        <w:pStyle w:val="Heading2"/>
      </w:pPr>
      <w:r>
        <w:t>Erwägungen</w:t>
      </w:r>
    </w:p>
    <w:p>
      <w:r>
        <w:rPr>
          <w:b/>
        </w:rPr>
        <w:t>E. 1</w:t>
      </w:r>
    </w:p>
    <w:p>
      <w:r>
        <w:t>Nach Art. 964 Abs. 1 ZGB bedarf es zur Löschung oder Abänderung eines Eintrags im Grundbuch einer schriftlichen Erklärung der aus dem Eintrag berechtigten Personen. Darunter ist bei einer Grunddienstbarkeit in erster Linie der Eigentümer des herrschenden Grundstücks BGE 82 I 36 S. 38 zu verstehen, der hier die Löschung unstreitig in gehöriger Form beantragt hat. Daneben kommen gegebenenfalls die Inhaber von Pfandrechten an diesem Grundstück sowie Personen in Betracht, welche die Nutzniessung oder ein Pfandrecht an Grundpfandtiteln auf dieser Liegenschaft oder an einer durch Grundpfandverschreibung auf dieser Liegenschaft gesicherten Forderung haben; ferner die Berechtigten aus Dienstbarkeiten (Grunddienstbarkeiten, Nutzniessungen und andern Dienstbarkeiten) und Grundlasten auf dieser Liegenschaft, soweit ihr Recht durch die Löschung beeinträchtigt werden kann (vgl. HOMBERGER N. 10 zu Art. 964 ZGB ). Der Eigentümer des mit der zu löschenden Grunddienstbarkeit belasteten Grundstücks zählt dagegen, wie in BGE 67 I 126 ff. ausgeführt, auch dann nicht zu den aus ihrem Eintrag berechtigten Personen, wenn der Eigentümer des herrschenden Grundstücks ihm gegenüber auf Grund des Gesetzes ( Art. 741 ZGB ) oder eines Vertrags verpflichtet ist, eine zur Ausübung der Grunddienstbarkeit gehörende Vorrichtung zu unterhalten. Noch weniger ist zu diesen Personen zu rechnen, wer sonst auf Grund rein obligatorischer Beziehungen oder gar nur faktisch am Weiterbestand der Grunddienstbarkeit interessiert ist. Im vorliegenden Fall hat demnach der Regierungsrat die Zustimmung des Staates als Eigentümers des mit der Grunddienstbarkeit belasteten Gewässers, welche das Grundbuchamt für nötig gehalten hatte, mit Recht nicht gefordert. Aber auch die Zustimmung der Grundeigentümer, die neben dem Beschwerdeführer wässerungsberechtigt sind, darf nicht verlangt werden. Indem der am 13. November 1924 erneuerte "Wasserverteilungsvertrag und Kehrebrief" vom 31. Mai 1906, auf den der Regierungsrat hinweist, in Art. V bestimmt, dass die Reinigung des Lochmattgrabens vom Locherwuhr bis zur sog. Wasserteilung je zur Hälfte von den wässerungsberechtigten Mattenbesitzern und den (Wasser-)Werkbesitzern übernommen BGE 82 I 36 S. 39 werde und dass von der Wasserteilung hinweg jede Nutzungspartei die Unterhaltung und Reinigung ihres eigenen Kanals übernehme, begründet er keine dinglichen Rechtsverhältnisse, sondern nur obligatorische Rechte und Pflichten der Kontrahenten. Selbst wenn jedoch (was möglich gewesen wäre, aber nicht geschehen ist) den Wässerungsberechtigten die Unterhalts- und Reinigungspflicht in Form einer Grundlast ( Art. 782 ZGB ) oder einer mit einer Durchleitungsdienstbarkeit nebensächlich verbundenen Leistungspflicht ( Art. 730 Abs. 2 ZGB ) auferlegt worden wäre, bedürfte die Löschung des dem Beschwerdeführer zustehenden Wässerungsrechts nicht der Zustimmung der übrigen Wässerungsberechtigten. Deren Interessen wären in diesem Falle durch die Grundlast bzw. die mit ihrem Durchleitungsrecht verbundene Leistungspflicht des Beschwerdeführers, die durch die Löschung des Wässerungsrechts nicht berührt würden, vollauf gesichert, so dass der Wegfall dieses Rechts ihnen gleichgültig sein könnte. Grundpfandrechte bestehen am Grundstück des Beschwerdeführers keine, wie der vom Bundesgericht in Anwendung von Art. 105 OG beigezogene Grundbuchauszug beweist. Das Grundstück ist einzig mit einem Fahrwegrecht zugunsten der Parzellen 900, 901, 908 und 1076 und einem Näherbaurecht zugunsten von Parzelle 1076 belastet. Es ist klar, dass diese Rechte durch die Löschung des streitigen Wässerungsrechts nicht beeinträchtigt werden können. Dem Löschungsbegehren ist daher zu entsprechen.</w:t>
      </w:r>
    </w:p>
    <w:p>
      <w:r>
        <w:rPr>
          <w:b/>
        </w:rPr>
        <w:t>E. 2</w:t>
      </w:r>
    </w:p>
    <w:p>
      <w:r>
        <w:t>Soweit dem Beschwerdeführer nach Massgabe des erwähnten Wasserteilungsvertrags oder des Nachbarrechts oder des kantonalen öffentlichen Rechts (z.B. des Flurgesetzes) noch Pflichten zu gewissen Leistungen obliegen sollten, würden sie durch die Löschung des Wässerungsrechts nicht betroffen. Ob und allenfalls in welchem Umfange solche Pflichten bestehen, ist im vorliegenden Verfahren nicht zu entscheiden. BGE 82 I 36 S. 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