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262</w:t>
      </w:r>
    </w:p>
    <w:p>
      <w:r>
        <w:t>Bundesgericht (BGE), 1956-12-21, DE</w:t>
      </w:r>
    </w:p>
    <w:p>
      <w:r>
        <w:rPr>
          <w:b/>
        </w:rPr>
        <w:t xml:space="preserve">Quelle: </w:t>
      </w:r>
      <w:r>
        <w:t>https://mcp.opencaselaw.ch/entscheid/bge_BGE_82_I_262</w:t>
      </w:r>
    </w:p>
    <w:p>
      <w:r>
        <w:t>FR: ATF 82 I 262</w:t>
      </w:r>
    </w:p>
    <w:p>
      <w:r>
        <w:t>IT: DTF 82 I 262</w:t>
      </w:r>
    </w:p>
    <w:p>
      <w:pPr>
        <w:pStyle w:val="Heading2"/>
      </w:pPr>
      <w:r>
        <w:t>Regeste</w:t>
      </w:r>
    </w:p>
    <w:p>
      <w:r>
        <w:t>Regeste Einspruch gegen Liegenschaftskäufe: Liegenschaften, die nicht zu einem landwirtschaftlichen Heimwesen gehören, unterliegen dem Einspruchsverfahren nicht, auch wenn sie landwirtschaftlich genutzt werden. Begriff der Zugehörigkeit (Art. 19 EGG).</w:t>
      </w:r>
    </w:p>
    <w:p>
      <w:r>
        <w:t>Regeste Opposition contre la vente d'un immeuble: La vente de biens-fonds qui ne font pas partie d'un domaine agricole, même s'ils sont utilisés pour l'agriculture, ne peut faire l'objet d'une procédure d'opposition. Quand un bien-fonds fait-il partie d'un domaine agricole? (art. 19 de la loi fédérale du 12 juin 1951 sur le maintien de la propriété foncière rurale).</w:t>
      </w:r>
    </w:p>
    <w:p>
      <w:r>
        <w:t>Regesto Opposizione in materia di vendite di beni immobili: Beni immobili che non fanno parte di un podere agricolo non possono, anche se sono adibiti a scopo agricolo, far oggetto di una procedura di opposizione. Quando un bene immobile fa parte di un podere agricolo? (art. 19 della legge federale 12 giugno 1951 sulla conservazione della proprietà fondiaria agricola).</w:t>
      </w:r>
    </w:p>
    <w:p>
      <w:pPr>
        <w:pStyle w:val="Heading2"/>
      </w:pPr>
      <w:r>
        <w:t>Erwägungen</w:t>
      </w:r>
    </w:p>
    <w:p>
      <w:r>
        <w:rPr>
          <w:b/>
        </w:rPr>
        <w:t>E. 1</w:t>
      </w:r>
    </w:p>
    <w:p>
      <w:r>
        <w:t>Dem Einspruchsverfahren, zu dessen Einführung Art. 18 EGG die Kantone ermächtigt, dürfen nach Art. 19 desselben Gesetzes nur Kaufverträge über landwirtschaftliche Heimwesen oder zu einem solchen gehörende Liegenschaften unterstellt werden. Liegenschaften, die nicht zu einem landwirtschaftlichen Heimwesen gehören, unterliegen dem Einspruch nicht, auch wenn sie landwirtschaftlich genutzt werden. Der Einspruch ist auf landwirtschaftliche Heimwesen und Bestandteile solcher beschränkt. Landwirtschaftliche Heimwesen sollen, im Rahmen des Gesetzes, nicht nur an sich, sondern auch in ihrem Bestande erhalten bleiben. Als landwirtschaftliches Heimwesen im Sinne des Art. 19 EGG wird nach der Rechtsprechung ( BGE 81 I 107 , 254) eine aus Land und Gebäuden bestehende Einheit angesehen, die geeignet ist, dem Inhaber (Eigentümer oder Pächter) und seiner Familie als Lebenszentrum und Grundlage für den Betrieb eines landwirtschaftlichen Gewerbes zu dienen. Art. 19 EGG sagt nicht, unter welchen Voraussetzungen eine Liegenschaft als zu einem landwirtschaftlichen Heimwesen gehörig zu betrachten ist. Nach Auffassung des Regierungsrates wäre nicht erforderlich, dass der Eigentümer und Verkäufer der Liegenschaft, auf die sich der Einspruch bezieht, auch Eigentümer eines bäuerlichen Heimwesens ist, welchem die Liegenschaft zugerechnet BGE 82 I 262 S. 265 werden kann, sondern würde genügen, dass diese vom Inhaber eines solchen Heimwesens zwecks landwirtschaftlicher Nutzung zugepachtet ist und so bloss wirtschaftlich zu einem Heimwesen gehört. Dieser Auslegung kann nicht zugestimmt werden. Der Eigentümer des verpachteten landwirtschaftlichen Grundstücks, das einzig wegen wirtschaftlicher Zugehörigkeit zu einem Heimwesen des Pächters dem Einspruchsverfahren unterstellt werden könnte, wäre in der Lage, den Erfolg eines Einspruches dadurch zunichte zu machen, dass er das Pachtverhältnis auf das nächste offene Ziel kündigen würde; denn mit der Auflösung des Pachtvertrages würde jene wirtschaftliche Zugehörigkeit dahinfallen, so dass ein neuer Einspruch auch nach dem Standpunkte des Regierungsrates nicht mehr möglich wäre. Zwar wäre unter Umständen die Beendigung der Pacht erst nach geraumer Zeit möglich, doch kann darauf nichts ankommen. Bei Veräusserung des verpachteten landwirtschaftlichen Grundstücks tritt nach Art. 281 bis OR (eingefügt durch Art. 26 EGG ) der Erwerber in der Regel ohne weiteres, von Gesetzes wegen, an Stelle des Verpächters in die sich aus dem Pachtverhältnis ergebenden Rechte und Pflichten ein (Randtitel: "Kauf bricht Pacht nicht"), so dass er, was die Auflösung des Pachtverhältnisses anbelangt, an die gleichen Schranken gebunden ist, die der bisherige Eigentümer beachten müsste, wenn ein Verkauf unterbliebe. Der Schutz des Pachtverhältnisses, den der Regierungsrat mit seiner Auslegung des Art. 19 EGG erreichen möchte, ist demnach in der Regel, im Bereich der Anwendbarkeit des Art. 281 bis OR , im Rahmen der im übrigen für das Verhältnis massgebenden Vorschriften bereits durch Art. 26 EGG gewährleistet. Allerdings erleidet der Grundsatz des Art. 281 bis OR Ausnahmen, die im nachfolgenden (ebenfalls durch Art. 26 EGG eingefügten) Art. 281 ter aufgezählt sind. Wenn nicht in allen, so doch in den meisten Ausnahmefällen (Verkauf unmittelbar zu Bauzwecken oder zu öffentlichen Zwecken oder zur BGE 82 I 262 S. 266 Selbstbewirtschaftung durch den Erwerber) wäre indes ein Einspruch ohnehin nicht zulässig ( Art. 19, 21 Abs. 1 lit. b EGG ). Sind Fälle denkbar, wo es sich anders verhält, so ist dies kein ausreichender Grund, der Auslegung des Regierungsrates zu folgen. Dies umsoweniger, als sie sich sogar zu Ungunsten des Pächterstandes auswirken könnte; denn wenn das Einspruchsverfahren gemäss den Ausführungen des Regierungsrates gegeben wäre, müsste der Pächter gewärtigen, dass der Eigentümer, um schliesslich doch nach seinem Belieben verkaufen zu können, den Pachtvertrag auf das nächste offene Ziel kündigen würde, während andernfalls der Pächter eher Aussicht hat, dass man ihm das Grundstück weiter belässt; zudem würde mancher Eigentümer eines Einzelgrundstücks, das nach den Eigentumsverhältnissen nicht zu einem landwirtschaftlichen Heimwesen gehört, vor einer zur Unterstellung unter das Einspruchsverfahren führenden Verpachtung zurückschrecken und sein Grundstück lieber eine gewisse Zeit brach liegen lassen, um es bei sich bietender Gelegenheit nach Gutdünken verkaufen zu können. Art. 19 EGG kann daher nicht den Sinn haben, den der Regierungsrat ihm beilegen möchte. Die Auslegung der kantonalen Behörde ist sachlich unbegründet und mit dem System des Gesetzes nicht vereinbar. Sie lässt sich auch nicht auf Art. 1 EGG stützen, wonach die Vorschriften dieses Gesetzes darauf abzielen, den bäuerlichen Grundbesitz als Träger eines gesunden und leistungsfähigen Bauernstandes zu schützen, die Bodennutzung zu fördern, die Bindung zwischen Familie und Heimwesen zu festigen und die Schaffung und Erhaltung landwirtschaftlicher Betriebe zu begünstigen; denn abgesehen davon, dass die vom Regierungsrat befürwortete Ausdehnung des Einspruchsverfahrens den ihr zugedachten Zweck praktisch verfehlen würde, darf aus jenem Programmartikel nicht die Befugnis abgeleitet werden, in die Freiheit des Eigentums eingreifende Massnahmen zu treffen, die im speziellen Teil des Gesetzes (in den Abschnitten II ff.) nicht vorgesehen BGE 82 I 262 S. 267 sind, oder eine daselbst vorgesehene Beschränkung über den Rahmen hinaus zu erweitern, der ihr ebenda gezogen ist.</w:t>
      </w:r>
    </w:p>
    <w:p>
      <w:r>
        <w:rPr>
          <w:b/>
        </w:rPr>
        <w:t>E. 2</w:t>
      </w:r>
    </w:p>
    <w:p>
      <w:r>
        <w:t>Es ist nicht bestritten, dass zur Zeit der Versteigerung des Grundstücks, um das es hier geht, die Verkäufer nicht Eigentümer eines landwirtschaftlichen Heimwesens im Sinne des Art 19 EGG waren. Die Parzelle unterliegt daher dem Einspruchsverfahren nicht, auch wenn sie wirtschaftlich als zu einem Heimwesen des Pächters oder des Unterpächters gehörig betrachtet werden kann. Ob die Voraussetzungen, unter denen nach Bundesrecht Einspruch erhoben werden kann, im übrigen gegeben wären, braucht nicht erörtert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