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211</w:t>
      </w:r>
    </w:p>
    <w:p>
      <w:r>
        <w:t>Bundesgericht (BGE), 1956-11-16, DE</w:t>
      </w:r>
    </w:p>
    <w:p>
      <w:r>
        <w:rPr>
          <w:b/>
        </w:rPr>
        <w:t xml:space="preserve">Quelle: </w:t>
      </w:r>
      <w:r>
        <w:t>https://mcp.opencaselaw.ch/entscheid/bge_BGE_82_I_211</w:t>
      </w:r>
    </w:p>
    <w:p>
      <w:r>
        <w:t>FR: ATF 82 I 211</w:t>
      </w:r>
    </w:p>
    <w:p>
      <w:r>
        <w:t>IT: DTF 82 I 211</w:t>
      </w:r>
    </w:p>
    <w:p>
      <w:pPr>
        <w:pStyle w:val="Heading2"/>
      </w:pPr>
      <w:r>
        <w:t>Regeste</w:t>
      </w:r>
    </w:p>
    <w:p>
      <w:r>
        <w:t>Regeste Zollpfandrecht, Zollbürgschaft: Die Zollverwaltung entscheidet nach Ermessen, ob das Zollpfand zu beschlagnahmen sei oder nicht. Ist es beschlagnahmt, so ist es dem Zollbürgen, der Zahlung leistet, herauszugeben, damit er ein Retentionsrecht geltend machen kann. Nach der Zahlung ist die Beschlagnahme nicht mehr zulässig.</w:t>
      </w:r>
    </w:p>
    <w:p>
      <w:r>
        <w:t>Regeste Droit de gage douanier, caution douanière: L'administration des douanes apprécie librement s'il y a lieu de séquestrer l'objet du gage douanier ou non. S'il est séquestré et que la caution douanière paye, l'objet lui sera remis afin qu'elle puisse exercer son droit de rétention. Après le paiement, le séquestre est exclu.</w:t>
      </w:r>
    </w:p>
    <w:p>
      <w:r>
        <w:t>Regesto Diritto di pegno doganale, fideiussione doganale: L'amministrazione delle dogane decide secondo il suo apprezzamento se l'oggetto del pegno doganale debba essere sequestrato o no. Se è sequestrato e se il fideiussore doganale paga il creditore l'oggetto del pegno gli sarà consegnato affinchè possa esercitare un diritto di ritenzione. Dopo il pagamento, il sequestro non è più lecito.</w:t>
      </w:r>
    </w:p>
    <w:p>
      <w:pPr>
        <w:pStyle w:val="Heading2"/>
      </w:pPr>
      <w:r>
        <w:t>Erwägungen</w:t>
      </w:r>
    </w:p>
    <w:p>
      <w:r>
        <w:rPr>
          <w:b/>
        </w:rPr>
        <w:t>E. 1</w:t>
      </w:r>
    </w:p>
    <w:p>
      <w:r>
        <w:t>- (Prozessuales.)</w:t>
      </w:r>
    </w:p>
    <w:p>
      <w:r>
        <w:rPr>
          <w:b/>
        </w:rPr>
        <w:t>E. 2</w:t>
      </w:r>
    </w:p>
    <w:p>
      <w:r>
        <w:t>- Art. 120 ZG gibt dem Bund ein gesetzliches Pfandrecht an Waren, für die Zollpflicht besteht, und an Gegenständen, die der Verletzung zollrechtlicher oder anderer unter Mitwirkung der Zollverwaltung angewendeter Erlasse gedient haben (Zollpfandrecht). Nach Art. 121 Abs. 1 ZG kann die Zollverwaltung das Zollpfand, solange die dadurch gesicherte Forderung nicht bezahlt ist, BGE 82 I 211 S. 214 zurückbehalten oder, wenn es sich nicht in ihrem Gewahrsam befindet, beschlagnahmen. Sie hat es demnach freizugeben, sobald die Forderung vollständig bezahlt ist, sei es vom Zollpflichtigen selbst, sei es von einem Zollbürgen. Wenn und soweit der Zollbürge seine Zahlungspflicht gegenüber der Zollverwaltung erfüllt, befreit er den Zollpflichtigen von der verbürgten Schuld. Er bezahlt "die Forderung", wie Art. 68 Abs. 5 ZG ausdrücklich sagt. Gemeint ist die gesicherte Forderung der Zollverwaltung gegenüber dem Hauptschuldner, im Sinne von Art. 121 Abs. 1 ZG . Wenn auch der zahlende Zollbürge naturgemäss nicht nach zivilrechtlichen Grundsätzen in die Stellung des Bundes zum Zollpflichtigen eintreten kann, so findet doch insofern eine Subrogation statt, als er eine Rückgriffsforderung gegen den Hauptschuldner erhält und ihm ein in Händen der Zollverwaltung befindliches Zollpfand herauszugeben ist, damit er ein Retentionsrecht gemäss Art. 895 ZGB geltend machen kann ( Art. 68 Abs. 5 ZG , Art. 64 Abs. 2 VVZ; BLUMENSTEIN, System des Steuerrechts, 2. Aufl., S. 232 ff.). Diese Subrogation setzt voraus, dass die durch das Zollpfand gesicherte Forderung der Zollverwaltung mit der Leistung des Bürgen bezahlt ist. Sobald dies geschehen ist, darf die Zollverwaltung nach der gesetzlichen Ordnung das Pfand, sofern sie es in ihrem Gewahrsam hat, nicht zurückbehalten, sondern muss sie es dem zahlenden Bürgen aushändigen. Hat sie aber im Zeitpunkt der Zahlung des Bürgen den Gewahrsam nicht, so darf sie sich ihn nicht durch nachträgliche Beschlagnahme verschaffen. Nach der Ordnung des Zollgesetzes, die auch für das Verhältnis zwischen dem Bund und dem Zollbürgen massgebend ist ( Art. 68 Abs. 3 ZG und Abs. 3 der Übergangsbestimmungen zum revidierten Bürgschaftsrecht, AS 1942, 290), geht das Beschlagnahmerecht unter, sobald die Zollverwaltung für ihre durch das Zollpfand gesicherte Forderung befriedigt ist. Art. 503 Abs. 3 OR , wonach der Gläubiger BGE 82 I 211 S. 215 die für die Übertragung von Pfändern oder anderer Sicherheiten auf den zahlenden Bürgen erforderlichen Handlungen vorzunehmen hat, ist nicht anwendbar. Hier befand sich das Zollpfand im Zeitpunkt der Zahlung des Bürgen (21. Juni 1955) nicht im Gewahrsam der Zollverwaltung, so dass diese es dem Bürgen nicht herausgeben konnte. Eine Beschlagnahme war nach der Zahlung nicht mehr zulässig. Der angefochtene Entscheid vom 29. Mai 1956, durch den die Anordnung dieser Massnahme verweigert wird, erweist sich somit als richtig. Die Frage, ob das Zollpfandrecht nur an Waren oder auch am Erlös ihrer konkursamtlichen Verwertung (zum mindesten bis zur Verteilung) bestehe, kann offen gelassen werden.</w:t>
      </w:r>
    </w:p>
    <w:p>
      <w:r>
        <w:rPr>
          <w:b/>
        </w:rPr>
        <w:t>E. 3</w:t>
      </w:r>
    </w:p>
    <w:p>
      <w:r>
        <w:t>- Sollte anzunehmen sein, die Beschwerde richte sich auch gegen die von der Oberzolldirektion schon vor der Zahlung der Beschwerdeführerin eingenommene Haltung, so wäre sie insoweit ebenfalls als unbegründet abzuweisen, sofern sie in diesem Punkte nicht wegen Verspätung von der Hand gewiesen werden müste, was dahingestellt bleiben kann. Der Entscheid darüber, ob das Zollpfand zu beschlagnahmen sei oder nicht, ist in das Ermessen der Zollverwaltung gestellt. Sie "kann" die Massnahme anordnen ( Art. 121 Abs. 1 ZG ). Sie "kann" den beschlagnahmten Gegenstand gegen Sicherstellung - z.B. gegen Stellung eines Zollbürgen - freigeben (Abs. 3 daselbst), woraus zu schliessen ist, dass sie auch von vornherein von der Beschlagnahme Umgang nehmen kann, wenn von Anfang an anderweitige Sicherheiten bestehen, die sie als genügend erachtet. Hier kann keine Rede davon sein, dass die Verwaltung durch Verweigerung der Beschlagnahme vor der Zahlung des Bürgen ihr Ermessen überschritten oder missbraucht habe, selbst dann nicht, wenn zur pflichtgemässen Handhabung des Ermessens auch eine gewisse Rücksichtnahme auf die Interessen des Zollbürgen gehört. Gestützt auf die vom BGE 82 I 211 S. 216 Konkursamt erhaltene Auskunft, dass dieses den von der Beschwerdeführerin angemeldeten Retentionsanspruch anerkenne, durfte die Oberzolldirektion ohne neuen Bericht, der bis zur Zahlung des Bürgen nicht eintraf, recht wohl annehmen, dass es zur Geltendmachung jenes Anspruches einer Beschlagnahme des Zollpfandes nicht bedürfe.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