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188</w:t>
      </w:r>
    </w:p>
    <w:p>
      <w:r>
        <w:t>Bundesgericht (BGE), 1956-01-01, DE</w:t>
      </w:r>
    </w:p>
    <w:p>
      <w:r>
        <w:rPr>
          <w:b/>
        </w:rPr>
        <w:t xml:space="preserve">Quelle: </w:t>
      </w:r>
      <w:r>
        <w:t>https://mcp.opencaselaw.ch/entscheid/bge_BGE_82_I_188</w:t>
      </w:r>
    </w:p>
    <w:p>
      <w:r>
        <w:t>FR: ATF 82 I 188</w:t>
      </w:r>
    </w:p>
    <w:p>
      <w:r>
        <w:t>IT: DTF 82 I 188</w:t>
      </w:r>
    </w:p>
    <w:p>
      <w:pPr>
        <w:pStyle w:val="Heading2"/>
      </w:pPr>
      <w:r>
        <w:t>Regeste</w:t>
      </w:r>
    </w:p>
    <w:p>
      <w:r>
        <w:t>Regeste Erbbescheinigung als Ausweis für die Eintragung des erbrechtlichen Übergangs von Grundstücken (Art. 18 GBV): 1. Die von der zuständigen Behörde des letzten Wohnsitzes des Erblassers ausgestellte Erbbescheinigung ist auch vom Grundbuchamt eines andern Kantons anzuerkennen. 2. Es genügt, dass diese Bescheinigung den oder die einzigen Erben dem Sinne nach eindeutig bezeichnet. 3. Der Vorerbe kann sich als Eigentümer eintragen lassen, auch ohne zugleich die Nacherbschaft vormerken zu lassen. Ist die Vormerkungspflicht streitig, so kann sich der Nacherbe durch vorläufige Massnahmen schützen.</w:t>
      </w:r>
    </w:p>
    <w:p>
      <w:r>
        <w:t>Regeste Production d'un certificat d'héritier à titre de justification pour l'inscription d'un transfert d'immeubles par voie de succession (art.18 ORF). 1. Le certificat d'héritier établi par l'autorité compétente du dernier domicile du défunt doit être reconnu même par l'Office du registre foncier d'un autre canton. 2. Il suffit que ce certificat d'héritier désigne clairement par son sens le ou les seuls héritiers. 3. L'héritier institué peut se faire inscrire comme propriétaire sans faire annoter en même temps la substitution. Si l'obligation d'annoter est litigieuse, le tiers appelé peut se protéger en requérant des mesures provisionnelles.</w:t>
      </w:r>
    </w:p>
    <w:p>
      <w:r>
        <w:t>Regesto Produzione d'un certificato d'eredità quale titolo giustificativo per l'iscrizione d'un trapasso di immobili in caso di eredità (art.18RRF). 1. Il certificato d'eredità rilasciato dall'autorità competente dell'ultimo domicilio del defunto dev'essere riconosciuto anche dall'Ufficio del registro fondiario di un altro Cantone. 2. Basta che dal senso del certificato d'eredità risulti chiaramente chi sia il solo erede o chi siano i soli eredi. 3. L'erede istituito può farsi iscrivere quale proprietario senza far annotare nel contempo la sostituzione. Se l'obbligo d'annotazione è litigioso, l'erede sostituito può tutelare i suoi diritti chiedendo misure provvisionali.</w:t>
      </w:r>
    </w:p>
    <w:p>
      <w:pPr>
        <w:pStyle w:val="Heading2"/>
      </w:pPr>
      <w:r>
        <w:t>Erwägungen</w:t>
      </w:r>
    </w:p>
    <w:p>
      <w:r>
        <w:rPr>
          <w:b/>
        </w:rPr>
        <w:t>E. 1</w:t>
      </w:r>
    </w:p>
    <w:p>
      <w:r>
        <w:t>Um sich als Alleineigentümerin einer zum Nachlass des Josef Keller-Mühlebach gehörenden Liegenschaft eintragen zu lassen, hatte sich die Beschwerdeführerin darüber auszuweisen, dass sie als einzige Erbin des Erblassers anerkannt sei. Dies ergibt sich aus Art. 18 der Grundbuchverordnung, der einen solchen Ausweis "im Falle von Erbgang" sowohl bei gesetzlichen wie bei eingesetzten Erben verlangt. Die erwähnte Vorschrift lehnt sich, was Testamentserben betrifft, an Art. 559 ZGB an, den sie verdeutlicht. Dass entsprechende Bescheinigungen auch gesetzlichen Erben auszustellen seien, "sobald dies nach der Sachlage zu irgend einem Zweck erforderlich sein mag", wurde bereits bei der Vorberatung des ZGB erwogen (Erläuterungen zum Vorentwurf I S. 435), und die Grundbuchverordnung verlangt nun allgemein für die Eintragung des Eigentumsüberganges auf den Alleinerben oder auf die Erben insgesamt einen solchen Ausweis. BGE 82 I 188 S. 193 Entgegen der Ansicht des Regierungsrates ist die Bescheinigung des Teilungsamtes der Stadt Luzern als gültiger Ausweis anzuerkennen. Dass das Teilungsamt selbst der von ihm ausgestellten Urkunde diese Bedeutung beimisst und der angefochtene Entscheid sich hierüber geirrt hat, ergibt sich aus einem Schreiben des Teilungsamtes an den Luzerner Vertreter der Beschwerdeführerin. Darin wird ausgeführt, die Bescheinigung enthalte die Angaben, die der Grundbuchverwalter brauche, denn es gehe daraus hervor, wer als Erbe in Betracht komme. Deshalb sei das Amt auch nicht in der Lage, eine andere Bescheinigung auszustellen. Im interkantonalen Verkehr richte sich die Art der Bescheinigung nach dem Recht desjenigen Kantons, in dem der Erbgang abgewickelt werden müsse. In der Tat ist die vorliegende Bescheinigung von der zuständigen Behörde des letzten Wohnsitzes des Erblassers ausgestellt und beurrkundet die Tatsache des Erbfalles, der Erbenqualität, des Erbvertrages und des ihm entsprechenden Überganges des Alleineigentums am Nachlass auf die Beschwerdeführerin. Damit ist diese im Sinne von Art. 18 der Grundbuchverordnung als erbrechtliche Alleinerwerberin ausgewiesen. Angesichts des eindeutig dahingehenden Sinnes der Bescheinigung wäre es sinnloser Formalismus, sie deswegen zu bemängeln, weil sie nicht dem Wortlaut der Verordnungsvorschrift folgend die Beschwerdeführerin als "einzige" oder "alleinige" Erbin bezeichnet. Die Bescheinigung erscheint um so mehr als einwandfrei, wenn man den ihr zugrunde liegenden Erbvertrag mitberücksichtigt und bedenkt, dass die beiden Beteiligten sich ebenfalls als die einzigen gesetzlichen Erben betrachten und den Erbvertrag als gültig anerkennen. Bei dieser Sachlage ist auch nicht einzusehen, weshalb dieser ihnen wohlbekannte Vertrag, der ausser dem Erblasser nur sie betrifft, noch hätte - ihnen - amtlich eröffnet werden sollen. Übrigens bemerkt das eidgenössische Justiz- und Polizeidepartement mit Recht, BGE 82 I 188 S. 194 das Grundbuchamt habe nicht danach zu fragen, in welchem Verfahren die Erbenbescheinigung zustande gekommen sei. Und da das Bundesrecht eine Eröffnung von Erbverträgen gar nicht verlangt, hatte die am Orte des Erbganges von der zuständigen Behörde ausgestellte und den bundesrechtlichen Vorschriften genügende Erbenbescheinigung auch in jedem andern Kanton als tauglicher Ausweis zu gelten.</w:t>
      </w:r>
    </w:p>
    <w:p>
      <w:r>
        <w:rPr>
          <w:b/>
        </w:rPr>
        <w:t>E. 2</w:t>
      </w:r>
    </w:p>
    <w:p>
      <w:r>
        <w:t>Das Grundbuchamt hat die von der Beschwerdeführerin verlangte Eintragung nicht nur deshalb verweigert, weil es den vorgelegten Ausweis (wie dargetan, zu Unrecht) als "nicht dem Inhalt einer Erbenbescheinigung entsprechend" betrachtete, sondern ausserdem, weil nicht angegeben war, "ob im Sinne von Art. 490 Abs. 2 des Zivilgesetzbuches eine Vormerkung der Auslieferung des Erbschaftsgrundstückes an den Nacherben einzutragen ist". Indessen gehörte eine solche Angabe nicht in die Erbenbescheinigung. Vielmehr bildet die Vormerkung des Nacherbenrechtes den Gegenstand einer besondern Grundbuchanmeldung neben derjenigen des Eigentumserwerbes des Vorerben. Allerdings wird in der Literatur angenommen, diese Anmeldung habe vom Vorerben auszugehen, und es findet sich auch die Ansicht vertreten, das Nacherbenrecht lasse sich hinsichtlich Liegenschaften überhaupt nur auf solche Weise sicherstellen; der Grundbuchführer dürfe die Erbliegenschaft erst dann auf den Vorerben überschreiben, wenn (mangels anderer Abrede der Beteiligten) gleichzeitig auch die das Nacherbenrecht sicherstellende Vormerkung erfolgen könne (vgl. OSTERTAG, N. 36/37 und HOMBERGER, N. 44/45 zu Art. 960 ZGB ). Nach anderer Ansicht hat der Vorerbe die Wahl einer andern Art der Sicherstellung (vgl. ESCHER, N. 6 zu Art. 490 ZGB ). Im vorliegenden Fall ist vor allem streitig, ob aus der vertraglichen Beschränkung des der Beschwerdegegnerin eingeräumten Nacherbenrechtes eine gültige, obgleich nicht ausdrückliche Entbindung von der Sicherstellungspflicht BGE 82 I 188 S. 195 der Vorerbin zu folgern sei (was die Beschwerdeführerin mit Hinweis auf ESCHER, N. 5 zu Art. 490 ZGB , geltend macht). Zu alldem ist hier jedoch nicht Stellung zu nehmen. Den Grundbuchbehörden steht nicht zu, über den Bestand einer Sicherstellungspflicht zu entscheiden und die Art der Sicherstellung zu bestimmen. Dem Vorerben (zumal wenn es ein gesetzliches Erbe ist) darf aber auch nicht die Eintragung seines Eigentums für solange verweigert werden, bis über eine allfällige Vormerkungspflicht gegenüber dem Nacherben ein gerichtliches Urteil vorliegt. Ist die Vormerkungspflicht, wie hier, bestritten, so steht der Eintragung des an sich einwandfrei nachgewiesenen Eigentumsüberganges vom Erblasser auf den Vorerben nichts entgegen. Die Vormerkung bildet dann, wenn sie erfolgen muss, eine auch zeitlich davon getrennte Grundbuchoperation. Gewiss hat der Nacherbe, der Anspruch auf Vormerkung seines Rechtes erhebt, ein Interesse, Verfügungen des Vorerben vorzubeugen, die seinem spätern Erwerbe vorgreifen könnten. Er kann sich aber dadurch genügend schützen, dass er, wenn der Vorerbe seinen Wunsch, das Nacherbenrecht vormerken zu lassen, nicht erfüllt, nun seinerseits an den Richter gelangt, um die Vormerkung (allenfalls für die Dauer des Prozesses in einer vorläufigen Form) zu erwirrken. Diese Verteilung der Parteirollen entspricht im übrigen der gegebenen Sachlage besser als die vom Regierungsrat ins Auge gefasste gegenteilige Lösung, da eben das Eigentumsrecht der Vorerbin an sich unbestritten, der Anspruch der Nacherben auf Sicherstellung und insbesondere auf Vormerkung dagegen bestritten ist. Die Beschwerdegegnerin widersetzt sich denn auch nach ihren Ausführungen nicht dem Eigentumseintrag als solchem, sondern will sich nur vor spätern Handlungen der an sich als Eigentümerin anerkannten Vorerbin sichern, was auf andere Weise als durch Verweigerung des Eigentumseintrages geschehen kann. BGE 82 I 188 S. 196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