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86</w:t>
      </w:r>
    </w:p>
    <w:p>
      <w:r>
        <w:t>Bundesgericht (BGE), 1956-01-01, DE</w:t>
      </w:r>
    </w:p>
    <w:p>
      <w:r>
        <w:rPr>
          <w:b/>
        </w:rPr>
        <w:t xml:space="preserve">Quelle: </w:t>
      </w:r>
      <w:r>
        <w:t>https://mcp.opencaselaw.ch/entscheid/bge_BGE_82_IV_86</w:t>
      </w:r>
    </w:p>
    <w:p>
      <w:r>
        <w:t>FR: ATF 82 IV 86</w:t>
      </w:r>
    </w:p>
    <w:p>
      <w:r>
        <w:t>IT: DTF 82 IV 86</w:t>
      </w:r>
    </w:p>
    <w:p>
      <w:pPr>
        <w:pStyle w:val="Heading2"/>
      </w:pPr>
      <w:r>
        <w:t>Regeste</w:t>
      </w:r>
    </w:p>
    <w:p>
      <w:r>
        <w:t>Regeste Art. 113 StGB, Totschlag. Entschuldbar ist eine Gemütsbewegung, wenn sie sittlich gerechtfertigt erscheint.</w:t>
      </w:r>
    </w:p>
    <w:p>
      <w:r>
        <w:t>Regeste Art. 113 CP, meurtre par passion. Une émotion violente est excusable, lorsqu'elle se justifie du point de vue de la morale.</w:t>
      </w:r>
    </w:p>
    <w:p>
      <w:r>
        <w:t>Regesto Art. 113 CP, omicidio passionale. Una commozione violenta è scusabile quando appare moralmente giustificata.</w:t>
      </w:r>
    </w:p>
    <w:p>
      <w:pPr>
        <w:pStyle w:val="Heading2"/>
      </w:pPr>
      <w:r>
        <w:t>Erwägungen</w:t>
      </w:r>
    </w:p>
    <w:p>
      <w:r>
        <w:rPr>
          <w:b/>
        </w:rPr>
        <w:t>E. 1</w:t>
      </w:r>
    </w:p>
    <w:p>
      <w:r>
        <w:t>Nicht eine Tötung nach Art. 111 StGB , sondern einen mit milderer Strafe bedrohten Totschlag begeht, wer einen Menschen in einer nach den Umständen entschuldbaren heftigen Gemütsbewegung tötet ( Art. 113 StGB ). Der Totschlag ist wie nach früheren kantonalen Rechten BGE 82 IV 86 S. 88 eine Affekthandlung (meurtre par passion, omicidio passionale). Nach Art. 113 StGB genügt es aber nicht, dass die Leidenschaft die Triebfeder des Täters ist und dass dessen Vernunft und Wille im Zeitpunkt der Tat in einem gewissen Grade beeinträchtigt sind; auch beim Grundtatbestand der vorsätzlichen Tötung kann der Täter in einem starken Affekt handeln. Der Grund für die mildere Bestrafung des Totschlages liegt darin, dass die heftige Gemütsbewegung, die den Täter zur Tat treibt, nach den Umständen "entschuldbar" ist. Entschuldbar ist eine Gemütsbewegung nicht schon dann, wenn sie aus den gesamten objektiven und subjektiven Umständen heraus psychologisch erklärt werden kann. Der Begriff der Entschuldbarkeit verlangt vielmehr eine Bewertung nach ethischen Grundsätzen: Die Gemütsbewegung darf nicht ausschliesslich oder vorwiegend egoistischen, gemeinen Trieben entspringen, sondern sie muss durch die äussern Umstände, welche die Erregung ausgelöst haben, gerechtfertigt erscheinen. Der gleiche Sinn ergibt sich aus der Entstehungsgeschichte des Gesetzestextes. In den Beratungen der 2. Expertenkommission wurde wiederholt betont, dass die Gemütsbewegung durch eine Provokation, eine ungerechte Kränkung oder durch eine Notlage verursacht worden sein müsse. Die auf Anträge von Hafter und Thormann zurückgehende erste Fassung sprach denn auch von einer nach den Umständen "gerechtfertigten" heftigen Gemütsbewegung (Prot. 2, 147-165). Dass durch den später gewählten Ausdruck "entschuldbar" der Inhalt der ursprünglichen Anforderungen geändert worden wäre, ist nicht ersichtlich.</w:t>
      </w:r>
    </w:p>
    <w:p>
      <w:r>
        <w:rPr>
          <w:b/>
        </w:rPr>
        <w:t>E. 2</w:t>
      </w:r>
    </w:p>
    <w:p>
      <w:r>
        <w:t>Dem Beschwerdeführer musste mit der Auflösung des Verlöbnisses klar geworden sein, dass Margrit W. nicht mehr an ihn gebunden war und es auch nicht mehr sein wollte, zumal er schon vorher erkannt hatte, dass sie sich von ihm lösen wollte und in freundschaftliche Beziehungen zu Stoll getreten war. Auch wenn sie den Beschwerdeführer in einer gewissen Hoffnung liess, dass sie im Falle seiner BGE 82 IV 86 S. 89 Bewährung wieder zusammenkommen könnten, so lag darin noch keine bestimmte Zusicherung, die Auflösung des Verlöbnisses rückgängig zu machen, und auch keine Verpflichtung, das Verhältnis mit Stoll aufzugeben. Bei dieser Sachlage hätte sich der Beschwerdeführer sagen müssen, dass er Margrit W. nicht für sich allein beanspruchen durfte, sondern dass er gegenteils ihre Freiheit, die sie mit der Auflösung des Verlöbnisses wiedererlangt hatte, zu respektieren gehalten war, solange sie nicht auf ihren Entschluss zurückkam. Daher liegt in ihrem Verhalten am Abend des 19. April, insbesondere in der Ablehnung seiner Einladung und in der spätern Bemerkung, dass sie den letzten Teil des Weges nach Opfikon allein zu gehen wünsche, kein Rechtfertigungsgrund für seine Gemütsbewegung, in der er sich zur Tat entschloss. Sein Zorn war umso weniger gerechtfertigt, als er nicht gegen Margrit W., sondern gegen Stoll gerichtet war, der am Gespräch jenes Abends überhaupt nicht beteiligt war und auch sonst nichts unternommen hatte, was den Beschwerdeführer hätte reizen oder kränken können. Der Umstand allein, dass Stoll die Zuneigung von Margrit W. zu besitzen schien, macht die Gemütsbewegung des Beschwerdeführers nicht entschuldbar.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