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5</w:t>
      </w:r>
    </w:p>
    <w:p>
      <w:r>
        <w:t>Bundesgericht (BGE), 1956-01-01, DE</w:t>
      </w:r>
    </w:p>
    <w:p>
      <w:r>
        <w:rPr>
          <w:b/>
        </w:rPr>
        <w:t xml:space="preserve">Quelle: </w:t>
      </w:r>
      <w:r>
        <w:t>https://mcp.opencaselaw.ch/entscheid/bge_BGE_82_IV_5</w:t>
      </w:r>
    </w:p>
    <w:p>
      <w:r>
        <w:t>FR: ATF 82 IV 5</w:t>
      </w:r>
    </w:p>
    <w:p>
      <w:r>
        <w:t>IT: DTF 82 IV 5</w:t>
      </w:r>
    </w:p>
    <w:p>
      <w:pPr>
        <w:pStyle w:val="Heading2"/>
      </w:pPr>
      <w:r>
        <w:t>Regeste</w:t>
      </w:r>
    </w:p>
    <w:p>
      <w:r>
        <w:t>Regeste Art. 41 Ziff. 1 Abs. 2 StGB, Art. 277 BStP. Die kantonale Behörde hat bei Verweigerung des bedingten Strafvollzuges wegen Einsichtslosigkeit des Täters in ihrem Urteil darzulegen, inwiefern sich dieser einsichtslos gezeigt hat.</w:t>
      </w:r>
    </w:p>
    <w:p>
      <w:r>
        <w:t>Regeste Art. 41 ch. 1 al. 2 CP, art. 277 PPF. Lorsque l'autorité cantonale refuse le sursis pour le motif que l'auteur n'a pas conscience de sa faute, elle doit exposer dans son jugement dans quelle mesure le délinquant a montré qu'il n'avait pas compris le caractère condamnable de ses actes.</w:t>
      </w:r>
    </w:p>
    <w:p>
      <w:r>
        <w:t>Regesto Art. 41 Num. 1 cp. 2 CP, art. 277 PPF. Quando l'autorità cantonale rifiuta la sospensione condizionale della pena per il motivo che l'autore non ha coscienza della sua colpa, essa deve esporre nella sua sentenza in quale misura il colpevole ha dimostrato di non aver capito il carattere condannabile dei suoi atti.</w:t>
      </w:r>
    </w:p>
    <w:p>
      <w:pPr>
        <w:pStyle w:val="Heading2"/>
      </w:pPr>
      <w:r>
        <w:t>Volltext</w:t>
      </w:r>
    </w:p>
    <w:p>
      <w:r>
        <w:t>Bundesgericht (BGE) Band IV 1956 BGE 82 IV 5 Tribunal fédéral (ATF) Volume IV 1956 BGE 82 IV 5 Tribunale federale (DTF) Volume IV 1956 BGE 82 IV 5</w:t>
      </w:r>
    </w:p>
    <w:p>
      <w:r>
        <w:t>Regeste Art. 41 Ziff. 1 Abs. 2 StGB, Art. 277 BStP. Die kantonale Behörde hat bei Verweigerung des bedingten Strafvollzuges wegen Einsichtslosigkeit des Täters in ihrem Urteil darzulegen, inwiefern sich dieser einsichtslos gezeigt hat. Regeste Art. 41 ch. 1 al. 2 CP, art. 277 PPF. Lorsque l'autorité cantonale refuse le sursis pour le motif que l'auteur n'a pas conscience de sa faute, elle doit exposer dans son jugement dans quelle mesure le délinquant a montré qu'il n'avait pas compris le caractère condamnable de ses actes. Regesto Art. 41 Num. 1 cp. 2 CP, art. 277 PPF. Quando l'autorità cantonale rifiuta la sospensione condizionale della pena per il motivo che l'autore non ha coscienza della sua colpa, essa deve esporre nella sua sentenza in quale misura il colpevole ha dimostrato di non aver capito il carattere condannabile dei suoi atti.</w:t>
      </w:r>
    </w:p>
    <w:p>
      <w:r>
        <w:t>Urteilskopf 82 IV 5 2. Auszug aus dem Urteil des Kassationshofes vom 9. März 1956 i. S. Lauper gegen Staatsanwaltschaft des Kantons Basel-Stadt. Regeste Art. 41 Ziff. 1 Abs. 2 StGB , Art. 277 BStP . Die kantonale Behörde hat bei Verweigerung des bedingten Strafvollzuges wegen Einsichtslosigkeit des Täters in ihrem Urteil darzulegen, inwiefern sich dieser einsichtslos gezeigt hat. Erwägungen ab Seite 4 BGE 82 IV 5 S. 4 Aus den Erwägungen: Wie der Kassationshof schon öfters ausgeführt hat, ist Einsicht in die Verwerflichkeit der verübten Tat erste Voraussetzung einer dauernden Besserung und damit des bedingten Strafvollzuges. Auf Einsichtslosigkeit darf jedoch aus dem Leugnen des Angeklagten nicht schlechthin geschlossen werden. Wer seinen Fehler einsieht und nur aus Angst vor der Strafe, aus Rücksicht auf Angehörige oder aus sonst einem Grunde leugnet, der die Besserungsabsichten nicht beeinträchtigt, hat nicht schon wegen des Leugnens allein die Strafe verwirkt (vgl. nicht publiziertes Urteil des Kassationshofes vom 25. Februar 1949 i.S. Boden). In Hinsicht auf das Gebot einer einheitlichen Gesetzesanwendung ist es daher unerlässlich, dass die kantonale Behörde in ihrem Urteil darlegt, inwiefern sich der Täter einsichtslos gezeigt hat. Nur auf diese Weise lässt sich beurteilen, ob ein Mass von Einsichtslosigkeit gegeben ist, das die schlechte Prognose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