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187</w:t>
      </w:r>
    </w:p>
    <w:p>
      <w:r>
        <w:t>Bundesgericht (BGE), 1956-09-14, DE</w:t>
      </w:r>
    </w:p>
    <w:p>
      <w:r>
        <w:rPr>
          <w:b/>
        </w:rPr>
        <w:t xml:space="preserve">Quelle: </w:t>
      </w:r>
      <w:r>
        <w:t>https://mcp.opencaselaw.ch/entscheid/bge_BGE_82_IV_187</w:t>
      </w:r>
    </w:p>
    <w:p>
      <w:r>
        <w:t>FR: ATF 82 IV 187</w:t>
      </w:r>
    </w:p>
    <w:p>
      <w:r>
        <w:t>IT: DTF 82 IV 187</w:t>
      </w:r>
    </w:p>
    <w:p>
      <w:pPr>
        <w:pStyle w:val="Heading2"/>
      </w:pPr>
      <w:r>
        <w:t>Regeste</w:t>
      </w:r>
    </w:p>
    <w:p>
      <w:r>
        <w:t>Regeste Art. 169 StGB. Verfügung über gepfändetes Trinkgeld.</w:t>
      </w:r>
    </w:p>
    <w:p>
      <w:r>
        <w:t>Regeste Art. 169 CP. Détournement de pourboires saisis.</w:t>
      </w:r>
    </w:p>
    <w:p>
      <w:r>
        <w:t>Regesto Art. 169 CP. Distrazione di mance pignorate.</w:t>
      </w:r>
    </w:p>
    <w:p>
      <w:pPr>
        <w:pStyle w:val="Heading2"/>
      </w:pPr>
      <w:r>
        <w:t>Erwägungen</w:t>
      </w:r>
    </w:p>
    <w:p>
      <w:r>
        <w:rPr>
          <w:b/>
        </w:rPr>
        <w:t>E. 1</w:t>
      </w:r>
    </w:p>
    <w:p>
      <w:r>
        <w:t>Nach dem Pfändungsprotokoll vom 30. Juli 1954 wurden "vom künftigen Einkommen der Schuldnerin als Serviertochter" Fr. 30.- je Woche gepfändet. Da sie ausser freier Verköstigung keinen Lohn erhält, konnte sich die Pfändung nur auf Trinkgeldeinnahmen beziehen. Wie die Schuldbetreibungs- und Konkurskammer des Bundesgerichts in BGE 79 III 157 entschieden hat, sind Trinkgelder pfändbar. Was Gegenstand der Pfändung sei, wird in diesem Urteil nicht näher umschrieben; es weist indes darauf hin, dass es dem Amte nicht möglich sei, fortlaufend BGE 82 IV 187 S. 189 jedes einzelne Geldstück zu pfänden, das eine Serviertochter entgegennimmt. Dieser Erwägung darf entnommen werden, dass die Erwartung auf Trinkgeld das eigentliche Pfändungssubstrat sei (vgl. BGE 71 III 62 ). Ungeachtet der Unsicherheit, die in diesem Punkte herrschen mag, kann nach der durch BGE 79 III 157 eingeleiteten Rechtsprechung der Oberaufsichtsbehörde kein Zweifel daran bestehen, dass die am 30. Juli 1954 vollzogene Pfändung gültig war.</w:t>
      </w:r>
    </w:p>
    <w:p>
      <w:r>
        <w:rPr>
          <w:b/>
        </w:rPr>
        <w:t>E. 2</w:t>
      </w:r>
    </w:p>
    <w:p>
      <w:r>
        <w:t>Erhält der Arbeitnehmer seinen Lohn, so ist seine Forderung gegen den Arbeitgeber getilgt; zieht die Serviertochter das Trinkgeld ein, so erlischt die entsprechende Anwartschaft. Die Pfändung, welche die Forderung bzw. Erwartung beschlug, geht damit aber nicht unter. Eine solche Pfändung hat nur dann einen Sinn, wenn sie auch das Geld erfasst, das an Stelle der Forderung oder Anwartschaft tritt (vgl. BGE 71 III 61 ). Die Vorschrift des Art. 98 Abs. 1 SchKG , Geld, Banknoten, Wertpapiere und dergleichen seien vom Betreibungsamt in Verwahrung zu nehmen, steht dem nicht entgegen. Nach der neueren Rechtsprechung des Bundesgerichts ( BGE 63 III 67 ; BGE 75 III 108 Erw. 1) ist diese Massnahme nicht Voraussetzung für die Gültigkeit der Pfändung, sondern eine blosse Sicherungsvorkehrung, die ihrerseits eine vorgängige Pfändung voraussetzt. Dazu bedarf es lediglich der Erklärung eines Betreibungsbeamten, eine bestimmte Sache sei gepfändet, und eines entsprechenden Protokolleintrages ( BGE 74 III 4 ). Beides liegt hier vor. Dass ein gepfändeter Gegenstand ohne neue Pfändungsverfügung durch einen anderen ersetzt werden kann, wird von der Rechtsprechung in bestimmten Fällen anerkannt ( BGE 60 III 196 ; BGE 80 III 113 ). So hat die Schuldbetreibungs- und Konkurskammer entschieden, dass der an Stelle der gepfändeten Lohnforderung oder Anwartschaft tretende Geldbetrag unter die Pfändung falle ( BGE 71 III 62 a.E.), bzw. vom Schuldner dem Betreibungsamt abzuliefern sei ( BGE 78 III 129 ; BGE 79 III 158 ), was nach dem Gesetz einen Pfändungsbeschlag BGE 82 IV 187 S. 190 voraussetzt. Der Kassationshof hat sich dieser Auffassung angeschlossen (unveröffentlichtes Urteil vom 31. Oktober 1952 in Sachen Freiburghaus). Das von Waltraud Schoop eingezogene Trinkgeld fiel mithin im Betrage von wöchentlich Fr. 30.- unter Pfändungsbeschlag.</w:t>
      </w:r>
    </w:p>
    <w:p>
      <w:r>
        <w:rPr>
          <w:b/>
        </w:rPr>
        <w:t>E. 3</w:t>
      </w:r>
    </w:p>
    <w:p>
      <w:r>
        <w:t>Nach den vom Appellationsgericht übernommenen Feststellungen des Strafgerichts verfügte Waltraud Schoop nicht über die Erwartung auf Trinkgeld. sondern über dieses selbst. Die betreffenden Münzen und Noten sind ohne weiteres als (körperliche) "Sache" anzusprechen (vgl. BGE 75 IV 54 ; BGE 81 IV 233 b). Ob der Sachbegriff des Art. 169 StGB auch Anwartschaften, Forderungen und andere Rechte umfasse, kann deshalb dahingestellt bleiben.</w:t>
      </w:r>
    </w:p>
    <w:p>
      <w:r>
        <w:rPr>
          <w:b/>
        </w:rPr>
        <w:t>E. 4</w:t>
      </w:r>
    </w:p>
    <w:p>
      <w:r>
        <w:t>Unbestritten ist, dass Waltraud Schoop "eigenmächtig" zum Nachteil der Gläubiger über gepfändetes Trinkgeld verfügte, und dass sie mit Wissen und Willen handelte. Der Tatbestand des Art. 169 StGB ist daher objektiv und subjektiv erfüllt. Waltraud Schoop ist damit zu Unrecht in diesem Punkte freigesprochen worden. Dispositiv Demnach erkennt der Kassationshof: Die Nichtigkeitsbeschwerde wird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