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182</w:t>
      </w:r>
    </w:p>
    <w:p>
      <w:r>
        <w:t>Bundesgericht (BGE), 1956-01-01, DE</w:t>
      </w:r>
    </w:p>
    <w:p>
      <w:r>
        <w:rPr>
          <w:b/>
        </w:rPr>
        <w:t xml:space="preserve">Quelle: </w:t>
      </w:r>
      <w:r>
        <w:t>https://mcp.opencaselaw.ch/entscheid/bge_BGE_82_IV_182</w:t>
      </w:r>
    </w:p>
    <w:p>
      <w:r>
        <w:t>FR: ATF 82 IV 182</w:t>
      </w:r>
    </w:p>
    <w:p>
      <w:r>
        <w:t>IT: DTF 82 IV 182</w:t>
      </w:r>
    </w:p>
    <w:p>
      <w:pPr>
        <w:pStyle w:val="Heading2"/>
      </w:pPr>
      <w:r>
        <w:t>Regeste</w:t>
      </w:r>
    </w:p>
    <w:p>
      <w:r>
        <w:t>Regeste Veruntreuung, begangen durch den Verkauf einer unter Eigentumsvorbehalt erworbenen Sache. 1. Wiederaufnahme des Verfahrens; Begriff der erheblichen Tatsache im Sinne des Art. 397 StGB (Erw. 1). 2. Art. 184 OR. Hängt die Gültigkeit des Kaufvertrages und der damit verbundenen Nebenabreden davon ab, dass der Kaufgegenstand dem Verkäufer gehört? (Erw. 2). 3. Art. 715 Abs. 1 Z GB, Art. 7 VO betr. Eintragung der Eigentumsvorbehalte. Berührt es die Wirksamkeit des Eigentumsvorbehaltes, dass im Eigentumsvorbehaltsregister als Veräusserer nicht der Berechtigte, sondern ein Dritter eingetragen ist? (Erw. 3).</w:t>
      </w:r>
    </w:p>
    <w:p>
      <w:r>
        <w:t>Regeste Abus de confiance commis par la vente d'une chose acquise avec pacte de réserve de propriété. 1. Revision; qu'est-ce qu'un fait sérieux au sens de l'art. 397 CP? (consid. 1). 2. Art. 184 CO. La validité de la vente et de ses clauses accessoires exige-t-elle que la chose appartienne au vendeur? (consid. 2). 3. Art. 715 al. 1 CC, art. 7 de l'ordonnance concernant l'inscription des pactes de réserve de propriété. La validité du pacte de réserve de propriété est-elle affectée du fait que l'on a porté le nom d'un tiers, à l'exclusion de celui du vendeur, dans le registre destiné à l'inscription de ces pactes? (consid. 3).</w:t>
      </w:r>
    </w:p>
    <w:p>
      <w:r>
        <w:t>Regesto Appropriazione indebita commessa mediante la vendita di un oggetto acquistato con patto di riserva della proprietà. 1. Revisione: nozione di "fatto rilevante" a norma dell'art. 397 CP (consid. 1). 2. Art. 184 CO. Esige la validità della vendita e delle sue clausole accessorie che l'oggetto appartenga al venditore? (consid. 2). 3. Art. 715 cp. 1 CC, art. 7 del regolamento concernente l'iscrizione dei patti di riserva della proprietà. E infirmata la validità del patto di riserva della proprietà per il motivo che nel registro per i patti di riserva della proprietà non è stato iscritto l'avente diritto bensì un terzo? (consid. 3).</w:t>
      </w:r>
    </w:p>
    <w:p>
      <w:pPr>
        <w:pStyle w:val="Heading2"/>
      </w:pPr>
      <w:r>
        <w:t>Erwägungen</w:t>
      </w:r>
    </w:p>
    <w:p>
      <w:r>
        <w:rPr>
          <w:b/>
        </w:rPr>
        <w:t>E. 1</w:t>
      </w:r>
    </w:p>
    <w:p>
      <w:r>
        <w:t>Unter welchen Voraussetzungen gegenüber einem rechtskräftigen Strafurteil die Wiederaufnahme des Verfahrens verlangt werden kann, bestimmt sich grundsätzlich nach kantonalem Recht, dessen Anwendung der Kassationshof des Bundesgerichts auf Nichtigkeitsbeschwerde hin nicht nachzuprüfen hat ( Art. 269 Abs. 1, Art. 273 Abs. 1 lit. b BStP ). Das Bundesrecht, wegen dessen Verletzung der Kassationshof allein angerufen werden kann, greift durch den Art. 397 StGB in das kantonale Recht nur insofern ein, als es die Kantone verpflichtet, gegenüber Urteilen, die auf Grund des StGB oder eines anderen Bundesgesetzes ergangen sind, wegen erheblicher Tatsachen oder Beweismittel, die dem Gericht zur Zeit des früheren Verfahrens nicht bekannt waren, die Wiederaufnahme zu Gunsten des Verurteilten zuzulassen. Der Vorwurf, dass das angefochtene Urteil gegen diese Vorschrift verstosse, wird in der vorliegenden Beschwerde allerdings nicht ausdrücklich erhoben, obwohl Art. 273 Abs. 1 lit. b BStP u.a. verlangt, dass in der Beschwerdeschrift anzugeben sei, welche Bundesrechtssätze verletzt seien. Über den erwähnten Mangel kann indessen hinweggesehen werden, da die Behauptung, das Obergericht habe den neuen Tatsachen aus unzutreffenden rechtlichen Gründen die Erheblichkeit abgesprochen, sinngemäss auf die Rüge hinausläuft, Art. 397 StGB sei verletzt. Sie wäre begründet, wenn die behauptete neue Tatsache, der Personenwagen "Ford" habe im Zeitpunkte des Verkaufes an den Beschwerdeführer nicht der Firma E. Wagner, Centralgarage AG, gehört, geeignet wäre, ein für den Verurteilten wesentlich milderes Sachurteil herbeizuführen ( BGE 69 IV 139 Erw. 6; BGE 82 IV 182 S. 185 72 IV 45; 76 IV 39 Erw. 3; 77 IV 213 Erw. 1; 78 IV 55 ). Das ist aber nicht der Fall.</w:t>
      </w:r>
    </w:p>
    <w:p>
      <w:r>
        <w:rPr>
          <w:b/>
        </w:rPr>
        <w:t>E. 2</w:t>
      </w:r>
    </w:p>
    <w:p>
      <w:r>
        <w:t>Für die Gültigkeit des am 7. Juni 1951 zwischen der Firma E. Wagner, Centralgarage AG, und Julius Arpagaus abgeschlossenen Kaufvertrags ist es bedeutungslos, ob der Personenwagen zur Zeit des Kaufsabschlusses sich im Vermögen jener Firma befand oder einem Dritten gehörte, da grundsätzlich auch der Verkauf einer fremden Sache gültig ist (VON TUHR, Allg. Teil des OR, Anm. 72 zu § 31; OSER/SCHÖNENBERGER, OR Art. 184 N. 4; BECKER, Vorbemerkungen zu OR Art. 184-186 N. 12; HAFNER-GOLL, OR Art. 229 N. 3). Allerdings ist gemäss Art. 20 Abs. 1 OR ein solcher Vertrag nichtig, wenn die versprochene Leistung (objektiv) unmöglich erbracht werden kann (VON TUHR, Allg. Teil des OR, § 31 VI; OSER/SCHÖNENBERGER, OR Art. 20 N. 4 ff.). Dieser Vorbehalt trifft indessen hier nicht zu, da der Vertreter der Firma E. Wagner AG unmittelbar nach Vertragsabschluss dem Arpagaus den verkauften Wagen übergeben konnte. Berührt es demnach die Gültigkeit des Kaufvertrages vom 7. Juni 1951 nicht, ob damals der Personenwagen der Firma E. Wagner, Centralgarage AG, oder einem Dritten gehörte, so muss dasselbe auch für die Nebenabreden gelten, die mit dem Kauf verbunden wurden. Zu diesen gehört gemäss Abs. 4 der auf der Rückseite des Vertragsformulars abgedruckten "Lieferungs- und Verkaufsbedingungen", die Arpagaus durch eigenhändige Unterschrift als Vertragsinhalt anerkannt hat, auch die Klausel, dass "der Verkäufer das Eigentumsrecht bis zur gänzlichen Abzahlung vorbehalte" und "der Käufer dem Verkäufer das Recht zur Eintragung des Eigentumsvorbehaltes" einräume.</w:t>
      </w:r>
    </w:p>
    <w:p>
      <w:r>
        <w:rPr>
          <w:b/>
        </w:rPr>
        <w:t>E. 3</w:t>
      </w:r>
    </w:p>
    <w:p>
      <w:r>
        <w:t>Damit es bei der Verurteilung wegen Veruntreuung bleibt, ist allerdings weiter erforderlich, dass der Eigentumsvorbehalt im Zeitpunkt des Weiterverkaufs des Personenwagens durch Arpagaus vorschriftsgemäss eingetragen war, weil er nur dann wirksam war ( Art. 715 ZGB ). BGE 82 IV 182 S. 186 Gemäss Art. 7 lit. c der VO des Bundesgerichts betreffend die Eintragung der Eigentumsvorbehalte (vom 19. Dezember 1910) muss die Eintragung u.a. Namen, Beruf und Wohnort des Veräusserers enthalten. Als solcher war in dem für die Verurteilung des Arpagaus wegen Veruntreuung massgebenden Zeitpunkt die Firma E. Wagner, Centralgarage AG, eingetragen. Von der Richtigkeit dieser Angaben kann die Wirksamkeit des Eigentumsvorbehalts aber schon deshalb nicht abhangen, weil ihnen, wie das Bundesgericht bereits in BGE 41 III 208 f. ausgesprochen hat, überhaupt keine Bedeutung zukommt. Tatsächlich lässt die Entstehungsgeschichte des Art. 715 ZGB keine Zweifel darüber, dass die Eintragungspflicht nur vorgesehen worden ist, um den Eigentumsvorbehalt für Dritte, die mit dem Käufer in Verkehr treten wollen, erkennbar zu machen und sie vor Irrtümern über die wirkliche Vermögenslage des letztern zu bewahren. Die Eintragung bezweckt demnach lediglich, festzustellen, dass die Sachen, auf die sie sich bezieht, nicht im Eigentum des Käufers stehen (BECK: Der Eigentumsvorbehalt nach dem ZGB, S. 123; RAUCH: Der Eigentumsvorbehalt, S. 58). Eine weitere Bedeutung hat sie nicht. Umsoweniger kann die Gültigkeit des Eigentumsvorbehaltes von der Richtigkeit der - wie gesagt in diesem Zusammenhang bedeutungslosen - Angaben über Namen, Beruf und Wohnort des Veräusserers abhangen (vgl. SCHERRER, ZGB Art. 716 N. 82 a Satz 3, N. 89 Satz 3 ff.). Das ergibt sich aber auch daraus, dass es nach Lehre und Rechtsprechung im Falle der Zession der Kaufpreisforderung mit gleichzeitiger Übertragung des Eigentumsvorbehalts dem Zessionar unbeschadet seiner Rechte anheimgestellt ist, ob er die Abtretung im Register vormerken lassen will oder nicht (Art. 4bis EigVorbV; Blätter für Schuldbetreibung und Konkurs, 1943/44 S. 7 lit. È; BGE 41 III 208 f.; SCHERRER, ZGB Art. 716 N. 85 und 127; BECK: Der Eigentumsvorbehalt nach dem ZGB, S. 130 lit. h; RAUCH: Der Eigentumsvorbehalt, S. 92 mit Zitaten). BGE 82 IV 182 S. 187 Macht es in diesem Falle für den Fortbestand des Eigentumsvorbehaltes nichts aus, ob im Register der Berechtigte oder ein Dritter eingetragen ist, so kann auch die Begründung des Eigentumsvorbehaltes nicht davon abhängen, dass als Veräusserer der im Zeitpunkt des Registereintrages Berechtigte angegeben wird.</w:t>
      </w:r>
    </w:p>
    <w:p>
      <w:r>
        <w:rPr>
          <w:b/>
        </w:rPr>
        <w:t>E. 4</w:t>
      </w:r>
    </w:p>
    <w:p>
      <w:r>
        <w:t>Sollte, wie Arpagaus in seinem Revisionsgesuch behauptet, der Personenwagen beim Abschluss des Kaufvertrags vom 7. Juni 1951 und auch nachher nicht der Firma E. Wagner, Centralgarage AG, sondern einem Dritten gehört haben, so wäre damit zwar dargetan, dass die im Eigentumsvorbehaltsregister eingetragenen Angaben über Namen, Beruf und Wohnort des Veräusserers falsch waren; die Wirksamkeit des Eigentumsvorbehalts würde dies nach dem in Erw. 2 und 3 Gesagten jedoch in keiner Weise berühren.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