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168</w:t>
      </w:r>
    </w:p>
    <w:p>
      <w:r>
        <w:t>Bundesgericht (BGE), 1955-06-09, DE</w:t>
      </w:r>
    </w:p>
    <w:p>
      <w:r>
        <w:rPr>
          <w:b/>
        </w:rPr>
        <w:t xml:space="preserve">Quelle: </w:t>
      </w:r>
      <w:r>
        <w:t>https://mcp.opencaselaw.ch/entscheid/bge_BGE_82_IV_168</w:t>
      </w:r>
    </w:p>
    <w:p>
      <w:r>
        <w:t>FR: ATF 82 IV 168</w:t>
      </w:r>
    </w:p>
    <w:p>
      <w:r>
        <w:t>IT: DTF 82 IV 168</w:t>
      </w:r>
    </w:p>
    <w:p>
      <w:pPr>
        <w:pStyle w:val="Heading2"/>
      </w:pPr>
      <w:r>
        <w:t>Regeste</w:t>
      </w:r>
    </w:p>
    <w:p>
      <w:r>
        <w:t>Regeste Art. 25 Abs. 1 MFG. Zulässige Geschwindigkeit innerorts auf gross angelegter und übersichtlicher Durchgangsstrasse; Rücksichtnahme auf die Ortsbevölkerung.</w:t>
      </w:r>
    </w:p>
    <w:p>
      <w:r>
        <w:t>Regeste Art. 25 al. 1 LA. Vitesse admissible à l'intérieur d'une localité, sur une route de transit large, avec une bonne visibilité; devoirs envers la population.</w:t>
      </w:r>
    </w:p>
    <w:p>
      <w:r>
        <w:t>Regesto Art. 25 cp. 1 LA. Velocità ammissibile nell'interno di un abitato, su una strada di transito larga e con una buona visibilità; obblighi nei confronti della popolazione.</w:t>
      </w:r>
    </w:p>
    <w:p>
      <w:pPr>
        <w:pStyle w:val="Heading2"/>
      </w:pPr>
      <w:r>
        <w:t>Erwägungen</w:t>
      </w:r>
    </w:p>
    <w:p>
      <w:r>
        <w:rPr>
          <w:b/>
        </w:rPr>
        <w:t>E. 1</w:t>
      </w:r>
    </w:p>
    <w:p>
      <w:r>
        <w:t>Gemäss Art. 25 Abs. 1 MFG hat der Führer die Geschwindigkeit seines Fahrzeuges den gegebenen Strassen- und Verkehrsverhältnissen anzupassen. Er hat namentlich in Ortschaften, bei Bahnübergängen und auch sonst überall da, wo das Fahrzeug Anlass zu Verkehrsstörungen, Belästigung des Publikums, Erschrecken des Viehs oder Unfällen bieten könnte, den Lauf zu mässigen oder nötigenfalls anzuhalten. Nach dem klaren Wortlaut dieser Bestimmung hat der Führer im Bereich geschlossener Siedlungen unter allen Umständen mit mässiger Geschwindigkeit zu fahren. Es besteht eine unwiderlegliche Vermutung, dass er den Verkehr gefährdet, wenn er in voller Fahrt eine Ortschaft durchquert (STREBEL, Kommentar, N. 14 zu Art. 25). Art. 25 Abs. 1 will abstrakt die Unfallgefahr bekämpfen. Er gilt auch, wenn der Führer keine Anhaltspunkte für eine drohende konkrete Gefahr hat ( BGE 81 IV 131 ). Daher hilft dem Beschwerdegegner nicht, dass die von ihm befahrene Innerortsstrecke breit und übersichtlich ist, unmittelbar an der Strasse keine öffentlichen Gebäude stehen, in deren Nähe stets mit Passanten gerechnet werden muss, und im Zeitpunkt, als er Tagelswangen durchfuhr, weder Gegenverkehr herrschte, noch spielende Kinder BGE 82 IV 168 S. 170 zu sehen waren. Das verkennt der Vorderrichter. Zwar lässt eine gut ausgebaute und weithin überblickbare Innerortsstrecke höhere Geschwindigkeiten zu als eine enge und gewundene Ortsstrasse (vgl. BGE 61 I 439 ). Indessen gestattet Art. 25 Abs. 1 MFG nicht schlechthin, innerorts so schnell zu fahren, dass noch innerhalb der Sichtweite angehalten werden kann. Das Gesetz verlangt, dass jeder Fahrzeugführer zur Verhütung von Unfällen beitrage und das Publikum nicht belästige. Dementsprechend hat er selbst auf gross angelegten und übersichtlichen Durchgangsstrassen so zu fahren, dass den andern Strassenbenützern ein angemessenes Mass an Bewegungsfreiheit bleibt. Das muss insbesondere dort gelten, wo die Ortsbevölkerung, wie in Tagelswangen, darauf angewiesen ist, die Durchgangsstrasse als Dorfstrasse zu benutzen, um ihren täglichen Obliegenheiten nachgehen zu können. Diesfalls hat der Führer stets damit zu rechnen, dass ein Fussgänger oder ein anderer Strassenbenützer in angemessener Entfernung die Fahrbahn überqueren könnte. Das darf er nicht durch zu hohe Fahrgeschwindigkeit ungebührlich erschweren oder gar verunmöglichen. Darauf liefe es aber hinaus, wäre ein Tempo von 90 km/Std. auch innerorts zulässig. Daran ändert nichts, dass Art. 25 Abs. 1 MFG die zulässige Höchstgeschwindigkeit nicht zahlenmässig festsetzt. Diese wird innerorts durch die Rücksicht auf die übrigen Strassenbenützer und die Strassenanwohner bestimmt (STREBEL, a.a.O. N. 15 zu Art. 25). Das gilt unabhängig davon, ob eine behördliche Geschwindigkeitsbeschränkung signalisiert ist oder nicht. Die Kantone sind nicht verpflichtet, den Führer durch Aufstellen von Verbotstafeln darüber zu belehren, wie schnell er fahren darf. Auch kommt nichts darauf an, ob sich ein bestimmtes Tempo im Rahmen des Üblichen hält. Das Höchstmass der zulässigen Fahrgeschwindigkeit beurteilt sich nicht nach den Gepflogenheiten der Motorfahrzeuglenker; vielmehr sind diese von Gesetzes wegen verpflichtet, unabhängig BGE 82 IV 168 S. 171 von den besondern Strassen- und Verkehrsverhältnissen innerorts stets eine mässige Geschwindigkeit einzuhalten. Es ist daher entgegen der Auffassung des Beschwerdegegners nicht ungesetzlich, Fahrzeugführer, die schneller fahren, als es die Rücksicht auf die übrigen Strassenbenützer und die Strassenanwohner erlaubt, zu bestrafen.</w:t>
      </w:r>
    </w:p>
    <w:p>
      <w:r>
        <w:rPr>
          <w:b/>
        </w:rPr>
        <w:t>E. 2</w:t>
      </w:r>
    </w:p>
    <w:p>
      <w:r>
        <w:t>Da nach dem Gesagten eine Geschwindigkeit von 90 km/Std. innerorts geeignet ist, die vom Gesetz bekämpften Nachteile und Gefahren herbeizuführen, verstiess Lehner bei seiner Fahrt durch Tagelswangen gegen Art. 25 Abs. 1 MFG. Das angefochtene Urteil ist aufzuheben und die Sache zur Bestrafung des Beschwerdegegners an den Vorderrichter zurückzuweisen. Dispositiv Demnach erkennt der Kassationshof: Die Nichtigkeitsbeschwerde wird gutgeheissen, das Urteil des Einzelrichters in Strafsachen des Bezirksgerichts Pfäffikon vom 20. Januar 1956 aufgehoben und die Sache zur Verurteilung Lehners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