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IV 145</w:t>
      </w:r>
    </w:p>
    <w:p>
      <w:r>
        <w:t>Bundesgericht (BGE), 1956-01-01, DE</w:t>
      </w:r>
    </w:p>
    <w:p>
      <w:r>
        <w:rPr>
          <w:b/>
        </w:rPr>
        <w:t xml:space="preserve">Quelle: </w:t>
      </w:r>
      <w:r>
        <w:t>https://mcp.opencaselaw.ch/entscheid/bge_BGE_82_IV_145</w:t>
      </w:r>
    </w:p>
    <w:p>
      <w:r>
        <w:t>FR: ATF 82 IV 145</w:t>
      </w:r>
    </w:p>
    <w:p>
      <w:r>
        <w:t>IT: DTF 82 IV 145</w:t>
      </w:r>
    </w:p>
    <w:p>
      <w:pPr>
        <w:pStyle w:val="Heading2"/>
      </w:pPr>
      <w:r>
        <w:t>Regeste</w:t>
      </w:r>
    </w:p>
    <w:p>
      <w:r>
        <w:t>Regeste 1. Art. 157 Ziff. 1 Abs. 1 StGB. Wucherisches Arzthonorar. a) Die Vermögensleistung; Bestimmung des objektiven Wertes ärztlicher Dienste (Erw. I 2 lit. a und b); b) Das offenbare Missverhältnis (Erw. I 2 lit. b); c) Die Notlage (Erw. I 2 lit. c). 2. Art. 41 Ziff. 1 Abs. 2 StGB. Pflicht des Richters zur Berücksichtigung früherer Verfahren, auch wenn sie zu keiner Bestrafung geführt haben.</w:t>
      </w:r>
    </w:p>
    <w:p>
      <w:r>
        <w:t>Regeste 1. Art. 157 ch. 1 al. 1 CP. Honoraires médicaux usuraires. a) Prestation; détermination de la valeur objective des services d'un médecin (consid. I 2 litt. a et b); b) Disproportion évidente (consid. I 2 litt. b); c) Etat de gêne (consid. I 2 litt. c). 2. Art. 41 ch. 1 al. 2 CP. Devoir du juge de tenir compte d'affaires antérieures, même quand elles n'ont abouti à aucune condamnation.</w:t>
      </w:r>
    </w:p>
    <w:p>
      <w:r>
        <w:t>Regesto 1. Art. 157 num. 1 cp. 1 CP. Onorari medicali usurai. a) Prestazione patrimoniale; determinazione del valore oggettivo dei servizi di un medico (consid. I 2 lett. a e b); b) Manifesta sproporzione (consid. I 2 lett. b); c) Stato di bisogno (consid. I 2 lett. c). 2. Art. 41 num. 1 cp. 2 CP. Obbligo del giudice di tener conto di precedenti procedure quand'anche non abbiano condotto a una condanna.</w:t>
      </w:r>
    </w:p>
    <w:p>
      <w:pPr>
        <w:pStyle w:val="Heading2"/>
      </w:pPr>
      <w:r>
        <w:t>Erwägungen</w:t>
      </w:r>
    </w:p>
    <w:p>
      <w:r>
        <w:rPr>
          <w:b/>
        </w:rPr>
        <w:t>E. 1</w:t>
      </w:r>
    </w:p>
    <w:p>
      <w:r>
        <w:t>.....</w:t>
      </w:r>
    </w:p>
    <w:p>
      <w:r>
        <w:rPr>
          <w:b/>
        </w:rPr>
        <w:t>E. 2</w:t>
      </w:r>
    </w:p>
    <w:p>
      <w:r>
        <w:t>Die Nichtigkeitsbeschwerde der Staatsanwaltschaft des Kantons Zürich wird gutgeheissen, das Urteil des Schwurgerichtes des Kantons Zürich vom 19. November 1955 insoweit aufgehoben, als es dem Verurteilten den bedingten Strafvollzug gewährt,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