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131</w:t>
      </w:r>
    </w:p>
    <w:p>
      <w:r>
        <w:t>Bundesgericht (BGE), 1956-01-01, FR</w:t>
      </w:r>
    </w:p>
    <w:p>
      <w:r>
        <w:rPr>
          <w:b/>
        </w:rPr>
        <w:t xml:space="preserve">Quelle: </w:t>
      </w:r>
      <w:r>
        <w:t>https://mcp.opencaselaw.ch/entscheid/bge_BGE_82_IV_131</w:t>
      </w:r>
    </w:p>
    <w:p>
      <w:r>
        <w:t>FR: ATF 82 IV 131</w:t>
      </w:r>
    </w:p>
    <w:p>
      <w:r>
        <w:t>IT: DTF 82 IV 131</w:t>
      </w:r>
    </w:p>
    <w:p>
      <w:pPr>
        <w:pStyle w:val="Heading2"/>
      </w:pPr>
      <w:r>
        <w:t>Regeste</w:t>
      </w:r>
    </w:p>
    <w:p>
      <w:r>
        <w:t>Regeste Art. 14, 15 und 44 StGB. Welche Massnahme ist gegen einen vermindert zurechnungsfähigen Gewohnheitstrinker anzuordnen; wann ist er nach Art. 44 StGB in eine Trinkerheilanstalt einzuweisen, wann nach Art. 14 StGB zu verwahren oder nach Art. 15 StGB zu versorgen?</w:t>
      </w:r>
    </w:p>
    <w:p>
      <w:r>
        <w:t>Regeste Art. 14, 15 et 44 CP. Mesures à prendre contre un buveur d'habitude dont la responsabilité est restreinte; distinction à faire entre le renvoi dans un asile spécial (art. 44), l'internement (art. 14) et l'hospitalisation (art. 15).</w:t>
      </w:r>
    </w:p>
    <w:p>
      <w:r>
        <w:t>Regesto Art. 14, 15 e 44 CP. Misure che devono essere prese nei confronti di un bevitore abituale la cui responsabilità è scemata; distinzione da farsi tra il collocamento in un. asilo speciale (art. 44), l'internamento (art. 14) e il ricovero (art. 15).</w:t>
      </w:r>
    </w:p>
    <w:p>
      <w:pPr>
        <w:pStyle w:val="Heading2"/>
      </w:pPr>
      <w:r>
        <w:t>Erwägungen</w:t>
      </w:r>
    </w:p>
    <w:p>
      <w:r>
        <w:rPr>
          <w:b/>
        </w:rPr>
        <w:t>E. 1</w:t>
      </w:r>
    </w:p>
    <w:p>
      <w:r>
        <w:t>L'art. 44 CP autorise le juge à renvoyer les buveurs d'habitude dans un asile. Keim rentre dans cette catégorie. Néanmoins et contrairement à la Cour correctionnelle, la Cour de cassation genevoise a refusé de prendre cette mesure contre lui et a jugé qu'il relève soit de l'internement, soit de l'hospitalisation prévus par les art. 14 et 15 CP, suivant qu'il compromet ou non la sécurité et l'ordre publics. Elle a posé en principe que seuls les art. 14 et 15 CP sont applicables, à l'exclusion de l'art. 44, lorsque le buveur d'habitude est en état de responsabilité restreinte. BGE 82 IV 131 S. 134 Cette interprétation de la loi est erronée. La Cour de céans a dit que l'état de responsabilité restreinte d'un délinquant n'empêche pas le juge de le renvoyer dans une maison d'internement ou d'éducation au travail, pourvu que les conditions de l'art. 42 ou 43 CP soient réalisées (RO 70 IV 110; 71 IV 70 ). Il en va de même du renvoi dans un asile, que l'art. 44 CP prévoit spécialement pour les buveurs d'habitude. Même si un délinquant de cette catégorie est en état de responsabilité restreinte, même si, en outre, il compromet la sécurité ou l'ordre publics, le juge pourra le renvoyer dans un asile pour buveurs, pourvu que l'infraction soit en rapport avec le penchant à la boisson (art. 44 ch. 1 CP) et que l'on puisse escompter la guérison dans un délai de deux ans au maximum (art. 44 ch. 3 CP). La Cour de cassation genevoise invoque à tort l'avis exprimé par LOGOZ et HAFTER. Le premier de ces auteurs affirme: "L'article 44 ne vise pas les délinquants qui sont des alcooliques incurables" (et non "irresponsables" d'après la citation erronée faite dans l'arrêt attaqué: Comm. ad art. 44, no 2 a). Quant au second (Lehrbuch des schweiz. Strafrechts, partie générale, p. 405), l'exposé qu'il fait des rapports entre les art. 44 ch. 1 CP d'une part, 14 et 15 d'autre part, n'exclut nullement que la première de ces dispositions légales puisse également s'appliquer lorsque le buveur d'habitude est en état de responsabilité restreinte. Au contraire, l'art. 14 CP s'appliquera à l'exclusion de l'art. 44 lorsque le délinquant, buveur d'habitude à responsabilité restreinte, non seulement compromet la sécurité ou l'ordre publics (RO 73 IV 150 consid. 2), mais encore est dans un état qui rend nécessaire son internement dans un hôpital ou dans un hospice (RO 81 IV 8, consid. 2). Cette nécessité de l'internement est le facteur décisif qui distingue le cas de l'art. 14. Quant à l'art. 15, il a principalement pour but d'assurer au condamné irresponsable ou à responsabilité restreinte les soins ou le traitement BGE 82 IV 131 S. 135 que son état peut rendre indispensables; il doit être appliqué de telle façon qu'il n'en résulte pas, pour le délinquant, un avantage dont serait privée toute personne qui ne serait pas sous le coup d'une condamnation (RO 74 IV 2; 81 IV 8 ).</w:t>
      </w:r>
    </w:p>
    <w:p>
      <w:r>
        <w:rPr>
          <w:b/>
        </w:rPr>
        <w:t>E. 2</w:t>
      </w:r>
    </w:p>
    <w:p>
      <w:r>
        <w:t>Il ne suffisait donc pas à la Cour genevoise, pour décider, comme elle l'a fait, que l'art. 44 CP n'est pas applicable, de constater que Keim est en état de responsabilité restreinte. Son arrêt viole le droit fédéral sur ce point et doit être annulé. Il lui appartiendra, tout d'abord, de rechercher si l'art. 44 CP est applicable, selon les principes de jurisprudence rappelés plus haut, bien que la responsabilité du condamné soit restreinte. Dans l'affirmative, elle appréciera s'il y a lieu de surseoir à l'exécution de la peine selon l'art. 44 ch. 1 dernière phrase. Dans la négative, au contraire, elle examinera s'il faut ordonner soit l'internement en vertu de l'art. 14, soit l'hospitalisation en vertu de l'art. 15 CP. Ce sont là deux mesures distinctes, qui doivent être prononcées dans des cas différents, comme on l'a montré plus haut. L'autorité cantonale ne peut se contenter, ainsi qu'elle l'a fait dans l'arrêt entrepris, de dire que l'une ou l'autre est en tout cas applicable dès lors qu'il s'agit d'un cas de responsabilité restreinte et qu'il n'y a pas lieu, par conséquent, de rechercher si l'expert a bien interprété la loi en affirmant que Keim compromet la sécurité ou l'ordre publics.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