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555</w:t>
      </w:r>
    </w:p>
    <w:p>
      <w:r>
        <w:t>Bundesgericht (BGE), 1956-01-01, DE</w:t>
      </w:r>
    </w:p>
    <w:p>
      <w:r>
        <w:rPr>
          <w:b/>
        </w:rPr>
        <w:t xml:space="preserve">Quelle: </w:t>
      </w:r>
      <w:r>
        <w:t>https://mcp.opencaselaw.ch/entscheid/bge_BGE_82_II_555</w:t>
      </w:r>
    </w:p>
    <w:p>
      <w:r>
        <w:t>FR: ATF 82 II 555</w:t>
      </w:r>
    </w:p>
    <w:p>
      <w:r>
        <w:t>IT: DTF 82 II 555</w:t>
      </w:r>
    </w:p>
    <w:p>
      <w:pPr>
        <w:pStyle w:val="Heading2"/>
      </w:pPr>
      <w:r>
        <w:t>Regeste</w:t>
      </w:r>
    </w:p>
    <w:p>
      <w:r>
        <w:t>Regeste Nichtigkeitsbeschwerde wegen Anwendung kantonalen statt eidgenössischen Rechtes (Art. 68 Abs. 1 lit. a OG). 1. Ausschluss der Nichtigkeitsbeschwerde, wenn Berufung zulässig ist (Erw. 1 und 2). 2. Unter den sonstigen Voraussetzungen unterliegt auch ein im summarischen Verfahren ergangener Entscheid der Berufung, wenn er ohne Vorbehalt eines ordentlichen Verfahrens einen endgültigen Befehl (hier: zur Vorlegung von Urkunden) ausspricht (Erw. 3). 3. Wann ist der Anspruch auf Vorlegung von Urkunden materiellrechtlicher Natur? (Erw. 4). 4. Wann ist er vom Bundesrecht beherrscht? (Erw. 7). 5. Die Einsichtnahme in Urkunden ist kein der Erbengesamtheit vorbehaltener Verfügungsakt (Art. 602 Abs. 2 ZGB), sondern steht jedem einzelnen Erben zu (Erw. 7). 6. Wann genügt im Berufungsverfahren ein Antrag auf Rückweisung der Sache an die kantonale Instanz? (Erw. 6).</w:t>
      </w:r>
    </w:p>
    <w:p>
      <w:r>
        <w:t>Regeste Recours en nullité pour application du droit cantonal au lieu du droit fédéral (art. 68 al. 1 litt. a OJ). 1. Exclusion du recours en nullité quand le recours en réforme est recevable (consid. 1 et 2). 2. Pourvu que les autres conditions soient réunies, une décision, même intervenue en procédure sommaire, est susceptible de recours en réforme lorsqu'elle prononce un ordre définitif (ici production de pièces) sans réserver la voie d'une procédure ordinaire (consid. 3). 3. Quand est-ce que le droit à la production de pièces ressortit, par sa nature, au droit matériel? (consid. 4). 4. Quand est-il régi par le droit fédéral? (consid. 7). 5. L'examen de pièces n'est pas un acte de disposition réservé aux héritiers agissant en commun (art. 602 al. 2 CC), mais appartient à chacun d'eux en particulier (consid. 7). 6. Quand suffit-il, dans une procédure de recours en réforme, de prendre une conclusion tendant au renvoi de la cause à la juridiction cantonale? (consid. 6).</w:t>
      </w:r>
    </w:p>
    <w:p>
      <w:r>
        <w:t>Regesto Ricorso per nullità. Applicazione del diritto cantonale in luogo di quello federale (art. 68 cp. 1 lett. a OG). 1. Inammissibilità del ricorso per nullità quando è proponibile il ricorso per riforma (consid. 1 e 2). 2. Purchè gli altri presupposti siano adempiuti, una decisione, anche se pronunciata nella procedura sommaria, può essere impugnata mediante ricorso per riforma quando essa impartisca un ordine definitivo (in casu produzione di documenti)senza che rimanga aperta la via della procedura ordinaria (consid. 3). 3. Quando il diritto alla produzione di documenti attiene, per sua natura, al diritto materiale? (consid. 4). 4. Quando esso è retto dal diritto federale? (consid. 7). 5. L'esame di documenti è un atto di disposizione che non spetta ai coeredi in comune (art. 602 cp. 2 CC), ma ad ogni singolo coerede (consid. 7). 6. Quando la conclusione tendente al rinvio della causa alla giurisdizione cantonale è sufficiente nel procedimento per riforma? (consid. 6).</w:t>
      </w:r>
    </w:p>
    <w:p>
      <w:pPr>
        <w:pStyle w:val="Heading2"/>
      </w:pPr>
      <w:r>
        <w:t>Erwägungen</w:t>
      </w:r>
    </w:p>
    <w:p>
      <w:r>
        <w:rPr>
          <w:b/>
        </w:rPr>
        <w:t>E. 1</w:t>
      </w:r>
    </w:p>
    <w:p>
      <w:r>
        <w:t>Nach Art. 68 Abs. 1 OG ist "in Zivilsachen, die nicht nach Art. 44-46 der Berufung unterliegen, gegen letztinstanzliche Entscheide kantonaler Behörden Nichtigkeitsbeschwerde zulässig, a) wenn statt des massgebenden eidgenössischen Rechts kantonales oder ausländisches Recht angewendet worden ist". Darauf beruft sich die Beklagte in der vorliegenden Beschwerde, indem sie geltend macht, ihre Editionspflicht sei nicht nach dem vom kantonalen Kassationsgericht angewendeten § 232 des zürcherischen EG zum ZGB, sondern BGE 82 II 555 S. 561 nach eidgenössischen Normen, nämlich Art. 602, eventuell 607 Abs. 3 und 610 Abs. 2 ZGB zu beurteilen. Mit der Anwendung jener kantonalen Vorschrift greife der angefochtene Entscheid in das dem Bundesrecht vorbehaltene Privatrecht ein. In der Antwort auf die Beschwerde hält die Klägerin die Berufung auf Art. 68 Abs. 1 lit. a OG für unzulässig, "weil das Bundesgericht als Beschwerdeinstanz nicht zu prüfen hat, ob eine kantonale Vorschrift richtig oder falsch ausgelegt worden sei, sondern nur, ob zu Unrecht kantonales statt Bundesrecht angewendet wurde". Nun behaupte die Beschwerdeführerin nicht, § 232 des kantonalen EG verletze an sich Bundesrecht, sondern nur in der vom Kassationsgericht gegebenen Auslegung. Dieser Einwand, mit dem die Beschwerdegegnerin ihren Nichteintretensantrag begründet, ist nicht stichhaltig. Die Beschwerde macht gerade geltend, es sei zu Unrecht kantonales statt Bundesrecht angewendet worden, also den in Art. 68 Abs. 1 lit. a OG vorgesehenen Beschwerdegrund. Aus dem angefochtenen Entscheid (Erw. V 2, S. 9 ff., und VI 2 a, S. 13 ff.) geht auch klar hervor, dass kantonales Recht, nämlich § 232 des EG zum ZGB, angewendet worden ist. Die Frage, ob statt dessen eidgenössisches Recht hätte angewendet werden sollen, kann daher unter den nähern Voraussetzungen des Art. 68 OG Gegenstand einer Nichtigkeitsbeschwerde bilden.</w:t>
      </w:r>
    </w:p>
    <w:p>
      <w:r>
        <w:rPr>
          <w:b/>
        </w:rPr>
        <w:t>E. 2</w:t>
      </w:r>
    </w:p>
    <w:p>
      <w:r>
        <w:t>Dieses Rechtsmittel erweist sich jedoch aus einem andern, von Amtes wegen zu berücksichtigenden Grunde als unzulässig. Wie sich aus dem Eingang von Art. 68 OG ergibt, ist die Nichtigkeitsbeschwerde ein der Berufung nach Art. 43 ff. OG subsidiäres Rechtsmittel. Sie ist also nicht statthaft gegen einen letztinstanzlichen kantonalen Entscheid, der dem Weiterzug durch das umfassendere Rechtsmittel der Berufung unterliegt. Art. 68 OG geht stillschweigend davon aus, jeder der von ihm vorgesehenen Beschwerdegründe (Abs. 1 lit. a und b) sei auch Berufungsgrund und könne daher in einem der Berufung unterliegenden BGE 82 II 555 S. 562 Falle ohne weiteres auf diesem Wege geltend gemacht werden. Das trifft denn auch nach Art. 43 OG zu. Insbesondere ist nach dessen Abs. 2 das Bundesrecht nicht nur bei unrichtiger Anwendung bundesrechtlicher Normen, sondern auch dann verletzt, wenn ein eidgenössischer Rechtssatz zu Unrecht überhaupt nicht angewendet worden ist. So verhielt es sich übrigens schon unter der Herrschaft des frühern Organisationsgesetzes; in berufungsfähigen Fällen war daher die zivilrechtliche Beschwerde nach Art. 87 Ziff. 1a OG ausgeschlossen ( BGE 65 II 247 ff.; vgl. auchBGE 71 III 192ff. und BIRCHMEIER, N. 3, a zu Art. 68 OG ).</w:t>
      </w:r>
    </w:p>
    <w:p>
      <w:r>
        <w:rPr>
          <w:b/>
        </w:rPr>
        <w:t>E. 3</w:t>
      </w:r>
    </w:p>
    <w:p>
      <w:r>
        <w:t>Nun möchte man freilich die Zulässigkeit einer Berufung gegen den hier angefochtenen Entscheid zunächst in Zweifel ziehen. Erging er doch in einem summarischen Verfahren, das seiner Natur nach nicht ohne weiteres zur endgültigen Beurteilung zivilrechtlicher Ansprüche führen kann. Aus diesem Grunde wurde denn auch einer im summarischen Verfahren der §§ 277 ff. der zürcherischen ZPO gefällten Entscheidung der Charakter eines Endentscheides im Sinne von Art. 48 OG gelegentlich abgesprochen ( BGE 81 II 85 ). Indessen lässt das im vorliegenden Fall eingeleitete, obgleich summarische Befehlsverfahren auch eine endgültige Erledigung der erhobenen Ansprüche zu. Denn im Unterschied etwa zur einstweiligen Verfügung nach Art. 326 Ziff. 3 der bernischen ZPO, wobei die endgültige Entscheidung immer einem Hauptprozesse vorbehalten bleibt (vgl. LEUCH, N. 3 zu Art. 326 bern. ZPO), ist das Befehlsverfahren der zürcherischen ZPO zulässig "zur schnellen Handhabung klaren Rechtes ... bei sofort herstellbaren tatsächlichen Verhältnissen ..." (§ 292 Ziff. 1 zürch. ZPO) und (nach Ziff. 5 daselbst) "zur Geltendmachung von Begehren um Vorlegung von beweglichen Sachen" (worunter namentlich Urkunden zu verstehen sind; STRÄULI-HAUSER, N. 7 zu Art. 292). Dabei handelt es sich nur unter besondern Voraussetzungen um vorläufige Massnahmen, denen gegenüber ein gerichtlicher BGE 82 II 555 S. 563 Entscheid im ordentlichen Verfahren vorbehalten bliebe (vgl. § 297 zürch. ZPO). Der angefochtene Entscheid wurde nicht im Sinne einer solchen Massnahme getroffen; er enthält vielmehr einen endgültigen, an keinen Vorbehalt geknüpften Befehl.</w:t>
      </w:r>
    </w:p>
    <w:p>
      <w:r>
        <w:rPr>
          <w:b/>
        </w:rPr>
        <w:t>E. 4</w:t>
      </w:r>
    </w:p>
    <w:p>
      <w:r>
        <w:t>Hat man es also mit einem Endentscheid (der letzten kantonalen Instanz) zu tun, so bleibt zu prüfen, ob der streitige Anspruch ein zivil- oder aber ein prozessrechtlicher war. Nur im ersten Falle liegt eine "Zivilrechtsstreitigkeit" vor, die auf dem Wege der Berufung hätte weitergezogen werden können, sofern ihr Gegenstand keiner vermögensrechtlichen Schätzung unterlag oder einen Streitwert von mindestens Fr. 4000.-- hatte ( Art. 44 und 46 OG ). In dem von der Vorinstanz angeführten Entscheide des zürcherischen Obergerichtes vom 26. Mai 1951 (BlZR 55 Nr. 12, S. 22 ff.) wird das Recht auf "Einsicht in Privaturkunden zur eigenen Aufklärung über eine Rechtslage", soweit es nicht im Rahmen eines sonstigen Prozesses geltend gemacht wird, aus einer "vorprozessualen Editionspflicht" hergeleitet, die ebenso wie die prozessuale Editionspflicht ihrem Wesen nach zum Prozessrecht gehöre. Diese Ansicht entspricht der römisch-rechtlichen Zuweisung der "actio ad exhibendum" zu den sog. präparatorischen Klagen, denen auch die Klagen auf Rechnungslegung, z.B. auf Grund eines Mandatsverhältnisses, eines Gesellschaftsverhältnisses usw., zugezählt wurden (vgl. DERNBURG, System des römischen Rechts, 8. Auflage, I S. 258/9, § 125 Ziff. 2; JOH. ALB. AFFOLTER, Die actio ad exhibendum und ihre Bedeutung für das heutige Prozessrecht, S. 5; GUSTAV DEMELIUS, Die Exhibitionspflicht, S. 87 ff.). Im geltenden schweizerischen Rechte gibt es aber Ansprüche auf Vorlegung von Urkunden (und auf Vorzeigung anderer beweglicher Sachen), die richtigerweise dem materiellen Rechte zuzuweisen sind. Es mag hier dahingestellt bleiben, wie es sich mit der speziellen Editionspflicht im Prozess verhält, wie sie manche Prozessgesetze im Rahmen des Beweisverfahrens vorsehen BGE 82 II 555 S. 564 (vgl. z.B. Art. 50-54 BZP ). Auch wenn man hiebei und ebenso bei einer vorsorglichen Beweissicherung ("Beweis zu ewigem Gedächtnis") von einer prozessualen Vorlegungspflicht (der Parteien und auch dritter Personen) sprechen will und allenfalls muss, besteht daneben eine nicht aus prozessualen Normen abzuleitende Vorlegungspflicht, die nicht notwendig an dieselben Voraussetzungen gebunden ist, sich vielmehr nur nach materiell-rechtlichen Grundsätzen sachgemäss rechtfertigen lässt. Zu denken ist dabei an Vorlegungspflichten, die ohne jede Bezugnahme auf ein gegenwärtiges oder künftiges Prozessverfahren geltend gemacht werden. In solchen Fällen brauchen die Urkunden, die jemand einzusehen wünscht, nicht notwendig als Beweismittel für Ansprüche ins Auge gefasst zu werden. Es kann auch einfach eine Orientierung im Rahmen einer privatrechtlichen Beziehung in Frage stehen, dazu bestimmt, das geschäftliche oder sonstige persönliche Verhalten desjenigen, der sie verlangt, zu beeinflussen. Ein solcher Fall liegt vor, wenn, wie hier, jemand ausserhalb eines Hauptprozesses oder Beweissicherungsverfahrens nur gerade die Vorlegung von Urkunden verlangt und sich dabei auf ein materiellrechtliches Verhältnis beruft, das ihm, wie er annimmt und behauptet, Anspruch auf solche Orientierung ohne Rücksicht auf eine allfällige künftige Prozessführung gibt. Ob ihm ein derartiger nicht auf prozessuale Grundsätze gestützter Anspruch wirklich zustehe, ist eine Frage des materiellen Rechtes, d.h. der das geltend gemachte materiellrechtliche Verhältnis beherrschenden Normen. Selbst das Prozessrecht kann sich übrigens damit begnügen, eine Editionspflicht nur gemäss den im materiellen Rechte begründeten Vorlegungspflichten vorzusehen. So heisst es gerade in § 328 der zürcherischen Zivilprozessordnung: "Die Pflicht, Urkunden vorzulegen, richten sich nach den Bestimmungen des Privatrechtes". Damit wird sowohl auf Vorschriften des eidgenössischen (z.B. Art. 963 OR ) wie auch auf solche des kantonalen Rechtes (§ 232 des EG zum ZGB) hingewiesen BGE 82 II 555 S. 565 (vgl. STRÄULI-HAUSER, N. 3 zu § 328 ZPO ). Aus jener Vorschrift des Prozessgesetzes ist zu ersehen, dass der zürcherische Gesetzgeber die Pflicht zur Vorlegung von Urkunden und insbesondere auch die Vorschriften von § 232 des EG zum ZGB als privatrechtliche betrachtet. Dem steht nicht entgegen, dass § 231 der zürcherischen ZPO die Editionspflicht Dritter im Prozess in das freie Ermessen des Richters stellt, also anscheinend nicht streng an die dafür geltenden materiellrechtlichen Normen bindet. Auch der Grundsatz, dass die Editionspflicht im Prozess im interkantonalen Verhältnis durch allfällige im Wohnsitzkanton des Urkundebesitzers geltende Weigerungsgründe beschränkt ist ( BGE 47 I 87 ), tut der materiellrechtlichen Natur der ausserprozessualen Vorlegungspflicht keinen Abbruch. Jener Grundsatz lässt sich nur auf besondere prozessuale Editionspflichten beziehen, die nicht oder doch nicht in vollem Umfange als materiellrechtliche Vorlegungspflichten bestehen. An das materielle Recht ist dagegen jedermann gebunden. Und wenn es sich um ein vom Bundesrecht beherrschtes Rechtsverhältnis handelt, kann die Vorlegungspflicht nicht von Kanton zu Kanton verschieden sein.</w:t>
      </w:r>
    </w:p>
    <w:p>
      <w:r>
        <w:rPr>
          <w:b/>
        </w:rPr>
        <w:t>E. 5</w:t>
      </w:r>
    </w:p>
    <w:p>
      <w:r>
        <w:t>Somit betraf das zwischen den Parteien durchgeführte Befehlsverfahren in der Tat eine Zivilrechtsstreitigkeit. Betrachtet man den von der Klägerin erhobenen Anspruch auf Vorlegung von Urkunden als vermögensrechtlichen, so ist unter den vorliegenden Umständen zweifellos ein Streitwert von mindestens Fr. 4000.-- vorhanden ( Art. 46 OG ). Sollte man es aber mit einer nicht vermögensrechtlichen Streitigkeit zu tun haben, so wäre die Berufung ohnehin nach Art. 44 OG zulässig gewesen.</w:t>
      </w:r>
    </w:p>
    <w:p>
      <w:r>
        <w:rPr>
          <w:b/>
        </w:rPr>
        <w:t>E. 6</w:t>
      </w:r>
    </w:p>
    <w:p>
      <w:r>
        <w:t>Die Nichtigkeitsbeschwerde ist somit ausgeschlossen. Die Beschwerdeschrift lässt sich auch nicht etwa in eine Berufung umdeuten. Grundsätzlich könnte dies allerdings geschehen, da die unrichtige Benennung eines Rechtsmittels nicht schadet. Voraussetzung ist aber, dass die wesentlichen Formalien des zulässigen Rechtsmittels BGE 82 II 555 S. 566 gewahrt seien. Das trifft hier nicht zu, denn die Beschwerdeführerin hat nur ein kassatorisches Rechtsbegehren gestellt, das den Vorschriften von Art. 55 Abs. 1 lit. b OG nicht zu genügen vermag. Dieses Begehren zielt auf eine vom Kassationsgericht zu fällende neue Entscheidung, statt dass ein Sachurteil des Bundesgerichtes beantragt wird. Ein Rückweisungsantrag genügt aber nur, wenn das Bundesgericht ohne Rückweisung nicht zu Gunsten des Berufungsklägers entscheiden könnte ( BGE 71 II 186 , BGE 75 II 230 ), was hier nicht der Fall ist.</w:t>
      </w:r>
    </w:p>
    <w:p>
      <w:r>
        <w:rPr>
          <w:b/>
        </w:rPr>
        <w:t>E. 7</w:t>
      </w:r>
    </w:p>
    <w:p>
      <w:r>
        <w:t>Trotz der sich daraus ergebenden formellen Erledigung der Beschwerde mag, da materiellrechtliche Überlegungen bei Prüfung der Frage nach dem Vorliegen einer Zivilrechtsstreitigkeit nötig waren, noch folgendes beibefügt werden: Das materielle Recht, nach dem sich die Vorlegungspflicht der Beklagten bestimmt, kann nicht kantonales, sondern muss eidgenössisches Recht sein. Denn sowohl der Auftrag (des Erblassers an die Beklagte) wie auch die (von ihm testamentarisch verfügte) Willensvollstreckung sind Rechtsverhältnisse des Bundesrechts, und ebenso ist die rechtliche Stellung der Klägerin zum Miterben durch eidgenössisches Recht bestimmt. Eine Pflicht zur Vorlegung von Urkunden kann daher, wenigstens als ausserprozessuale, wie sie hier in Frage steht - da, wie schon erwähnt, nur die Vorlegung an die Klägerin selbst oder einen von ihr Bevollmächtigten und nicht die Vorlegung an einen Richter im Rahmen eines (Haupt-)Prozesses oder im Sinne einer Beweissicherung verlangt wurde - nur aus den betreffenden materiellen Rechtsverhältnissen hergeleitet werden. § 232 des kantonalen EG war somit nicht als eigentliche Rechtsnorm anwendbar, sondern nur als Hinweis auf die massgebenden Normen des Zivilrechts zu betrachten. An sich wäre die mit der Beschwerde erhobene Rüge also begründet gewesen. Dennoch hätte die Beschwerde, wenn zulässig, oder eine in gleichem Sinne eingereichte Berufung abgewiesen werden müssen, weil das BGE 82 II 555 S. 567 vorinstanzliche Urteil auch bei Anwendung des eidgenössischen Rechts im Ergebnis richtig ist. Gleichwie nach der vom Kassationsgerichte dem § 232 des zürcherischen EG zum ZGB gegebenen Auslegung ist nämlich auch nach dem massgebenden Bundesrecht jeder einzelne Miterbe befugt, Aufklärung und insbesondere Vorlegung von Urkunden in dem vom vorinstanzlichen Urteil bejahten Umfange zu verlangen. Dem kann namentlich nicht etwa entgegengehalten werden, dass nach Art. 602 Abs. 2 ZGB nur alle Miterben insgesamt über Erbschaftswerte verfügen können. Denn in der Einsichtnahme in Urkunden, wie sie der Klägerin gewährt worden ist, liegt keinerlei Verfügung, und es ist nicht zu finden, wieso diese Orientierung Rechte eines Miterben beeinträchtigen sollte. - Völlig ausser Betracht fällt vor Bundesgericht, ob der Einsichtnahme durch die Klägerin solche Akten des Erblassers entzogen seien, die sich nicht auf das Vermögen, sondern auf persönliche Angelegenheiten beziehen. So hat die Vorinstanz unter Annahme einer auch den Erben gegenüber zu beachtenden Geheimhaltungspflicht der Beklagten entschieden. Diese Frage ist vor Bundesgericht gar nicht mehr aufgeworfen, weil die in diesem Punkte unterlegene Klägerin den vorinstanzlichen Entscheid nicht angefochten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