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536</w:t>
      </w:r>
    </w:p>
    <w:p>
      <w:r>
        <w:t>Bundesgericht (BGE), 1956-01-01, FR</w:t>
      </w:r>
    </w:p>
    <w:p>
      <w:r>
        <w:rPr>
          <w:b/>
        </w:rPr>
        <w:t xml:space="preserve">Quelle: </w:t>
      </w:r>
      <w:r>
        <w:t>https://mcp.opencaselaw.ch/entscheid/bge_BGE_82_II_536</w:t>
      </w:r>
    </w:p>
    <w:p>
      <w:r>
        <w:t>FR: ATF 82 II 536</w:t>
      </w:r>
    </w:p>
    <w:p>
      <w:r>
        <w:t>IT: DTF 82 II 536</w:t>
      </w:r>
    </w:p>
    <w:p>
      <w:pPr>
        <w:pStyle w:val="Heading2"/>
      </w:pPr>
      <w:r>
        <w:t>Regeste</w:t>
      </w:r>
    </w:p>
    <w:p>
      <w:r>
        <w:t>Regeste M V Art. 47, MFG Art. 25 Abs. 1, 26 Abs. 2, 39. Zusammenstoss zwischen einem Auto, das eine Linkskurve schneidet und einem gleichzeitig mit übersetzter Geschwindigkeit aus der Gegenrichtung kommenden Motorrad. Abwägung der den beiden Fahrzeugen innewohnenden Betriebsgefahren und des Verschuldens ihrer Führer. Bemessung des Schadenersatzes und der Genugtuung.</w:t>
      </w:r>
    </w:p>
    <w:p>
      <w:r>
        <w:t>Regeste Art. 47 RA, 25 al. 1, 26 al. 2 et 39 LA. Collision entre une automobile qui prend à la corde un tournant à gauche et une motocyclette qui vient au même instant en sens inverse à une vitesse exagérée. Appréciation des risques inhérents à ces véhicules et des fautes de leurs conducteurs. Fixation des dommages-intérêts et de l'indemnité pour tort moral.</w:t>
      </w:r>
    </w:p>
    <w:p>
      <w:r>
        <w:t>Regesto Art. 47 RLA, 25 cp. 1, 26 cp. 2 e 39 LA. Scontro tra un'automobile che prende una svolta stretta a sinistra e una motocicletta che arriva allo stesso momento dalla direzione opposta ad una velocità eccessiva. Apprezzamento dei rischi inerenti a questi veicoli e delle colpe dei loro conduttori. Determinazione del danno risarcibile e della riparazione morale.</w:t>
      </w:r>
    </w:p>
    <w:p>
      <w:pPr>
        <w:pStyle w:val="Heading2"/>
      </w:pPr>
      <w:r>
        <w:t>Erwägungen</w:t>
      </w:r>
    </w:p>
    <w:p>
      <w:r>
        <w:rPr>
          <w:b/>
        </w:rPr>
        <w:t>E. 1</w:t>
      </w:r>
    </w:p>
    <w:p>
      <w:r>
        <w:t>a) Comme l'a relevé l'autorité neuchâteloise, Brenzikofer a commis deux fautes de la circulation, qui sont toutes deux en rapport de causalité avec l'accident. En premier lieu, il a, au mépris de l'art. 26 al. 2 LA, pris le tournant à gauche à la corde au lieu de le prendre au large. Or, s'il s'était conformé à cette disposition, il aurait BGE 82 II 536 S. 538 dû parcourir quelques mètres de plus sur la rue du Manège et le motocycliste aurait vraisemblablement eu le temps de passer devant lui. Mais sa faute la plus grave consiste à avoir, en obliquant à gauche, coupé la route de Schelling. Il a violé ainsi l'art. 47 RA, aux termes duquel le conducteur qui veut effectuer un déplacement à gauche doit, si un véhicule vient en même temps en sens inverse, lui laisser la priorité. Il prétend, certes, avoir été surpris par la vitesse fortement exagérée de Schelling, à laquelle il ne pouvait s'attendre. Mais cette argumentation ne l'excuse point. Comme le Tribunal fédéral l'a déjà jugé dans un cas analogue (RO 79 II 214 et suiv.), c'est l'allure effective du prioritaire qui importe et non ce qui eût été admissible en l'occurrence. L'excès de vitesse ne supprime pas le droit de priorité. Or Brenzikofer devait savoir qu'il est difficile, surtout de nuit, d'apprécier la distance et la vitesse d'un véhicule qui s'approche. Il avait dès lors l'obligation d'être d'autant plus prudent qu'il était dans l'incertitude au sujet du temps dont il disposait pour sa manoeuvre. b) Schelling a commis également une imprudence patente en roulant à une vitesse supérieure à 80 km/h. Une telle allure est fautive dans une agglomération, où l'on doit toujours compter avec la survenance inopinée d'obstacles. Elle l'était d'autant plus en l'espèce que, selon le dossier, la motocyclette de Schelling avait des freins plutôt faibles et qu'il suivait, de nuit, une artère très fréquentée, sur laquelle débouchent, des deux côtés, de nombreuses rues latérales. c) Les fautes de Brenzikofer et de Schelling paraissent à peu près égales en gravité. Si le premier a transgressé deux règles essentielles de la circulation, le second a violé de façon manifeste la disposition selon laquelle le conducteur doit être constamment maître de son véhicule et en adapter la vitesse aux conditions de la route et de la circulation (art. 25 al. 1 LA). Dès lors, c'est avec raison que la juridiction cantonale a estimé que dame Schelling et ses BGE 82 II 536 S. 539 enfants ne pouvaient se voir allouer une indemnité supérieure à la moitié de leur préjudice. Les demandeurs excipent, il est vrai, de la gravité prétendument plus grande du risque inhérent à l'emploi d'une automobile. Mais ce moyen n'est pas fondé. La motocyclette est un véhicule instable et n'offre qu'une protection insuffisante à ses usagers en cas d'accident. Son exploitation crée dès lors des risques aussi grands que ceux qui résultent de l'emploi d'une automobile moyenne, comme celle de Brenzikofer.</w:t>
      </w:r>
    </w:p>
    <w:p>
      <w:r>
        <w:rPr>
          <w:b/>
        </w:rPr>
        <w:t>E. 2</w:t>
      </w:r>
    </w:p>
    <w:p>
      <w:r>
        <w:t>Quant aux indemnités que l'autorité cantonale a allouées aux demandeurs à titre de réparation morale, elles paraissent adaptées aux circonstances du cas. En particulier, le défendeur soutient à tort que la juridiction neuchâteloise n'a pas suffisamment tenu compte de divers facteurs de réduction. C'est précisément en raison de ces éléments qu'elle a fixé les indemnités à 1000 et 500 fr., alors qu'elles auraient dû être sensiblement plus élevées si l'on n'avait pas dû prendre en considération les circonstances relevées par Brenzikofer (cf. par exemple RO 82 II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