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460</w:t>
      </w:r>
    </w:p>
    <w:p>
      <w:r>
        <w:t>Bundesgericht (BGE), 1956-01-01, DE</w:t>
      </w:r>
    </w:p>
    <w:p>
      <w:r>
        <w:rPr>
          <w:b/>
        </w:rPr>
        <w:t xml:space="preserve">Quelle: </w:t>
      </w:r>
      <w:r>
        <w:t>https://mcp.opencaselaw.ch/entscheid/bge_BGE_82_II_460</w:t>
      </w:r>
    </w:p>
    <w:p>
      <w:r>
        <w:t>FR: ATF 82 II 460</w:t>
      </w:r>
    </w:p>
    <w:p>
      <w:r>
        <w:t>IT: DTF 82 II 460</w:t>
      </w:r>
    </w:p>
    <w:p>
      <w:pPr>
        <w:pStyle w:val="Heading2"/>
      </w:pPr>
      <w:r>
        <w:t>Regeste</w:t>
      </w:r>
    </w:p>
    <w:p>
      <w:r>
        <w:t>Regeste Tragweite des direkten Forderungsrechtes des Geschädigten gegen den Haftpflichtversicherer nach Art. 49 ff. MFG. Inwiefern hat der Versicherer Zins zu zahlen? 1. Schadenszins: nur im Rahmen der g mäss Art. 52 MFG vereinbarten maximalen Versicherungssumme (Erw. 1). 2. Verzugszins: nur bei eigenem Verzug des Versicherers. Dessen Eintritt bestimmt sich nach Art. 41 VVG in Verbindung mit Art. 102 OR, wobei die Besonderheiten der Haftpflichtversicherung mit direktem Forderungsrecht des Geschädigten zu berücksichtigen sind (Erw. 2). 3. Bereicherungszins? (Erw. 3).</w:t>
      </w:r>
    </w:p>
    <w:p>
      <w:r>
        <w:t>Regeste Portée de l'action directe du lésé contre l'assureur-responsabilité civile selon l'art. 49 LA. Dans quelle mesure l'assureur doit-il payer un intérêt? 1. Intérêt de la créance en dommages-intérêts: seulement jusqu'au maximum de la somme assurée fixée contractuellement en conformité de l'art. 52 LA (consid. 1). 2. Intérêt moratoire: seulement en cas de demeure de l'assureur lui-même. Cette demeure se détermine suivant l'art. 41 LCA combiné avec l'art. 102 CO, en tenant compte des particularités de l'assurance-responsabilité civile avec action directe du lésé (consid. 2). 3. Intérêt dû en raison de l'enrichissement? (consid. 3).</w:t>
      </w:r>
    </w:p>
    <w:p>
      <w:r>
        <w:t>Regesto Portata dell'azione diretta della parte lesa contro l'assicuratore della responsabilità civile a norma dell'art. 49 sgg. LA. Quali interessi deve pagare l'assicuratore? 1. Interessi del credito a titolo di risarcimento dei danni: solo nei limiti della somma assicurata per contratto in conformità dell'art. 52 LA (consid. 1). 2. Interessi di mora: solo in caso di mora dell'assicuratore stesso. Per la costituzione in mora fanno stato l'art. 41 LCA combinato con l'art. 102 CO, tenuto conto delle particolarità dell'assicurazione per la responsabilità civile con azione diretta del leso (consid. 2). 3. Interessi dovuti a motivo dell'arricchimento? (consid. 3).</w:t>
      </w:r>
    </w:p>
    <w:p>
      <w:pPr>
        <w:pStyle w:val="Heading2"/>
      </w:pPr>
      <w:r>
        <w:t>Erwägungen</w:t>
      </w:r>
    </w:p>
    <w:p>
      <w:r>
        <w:rPr>
          <w:b/>
        </w:rPr>
        <w:t>E. 1</w:t>
      </w:r>
    </w:p>
    <w:p>
      <w:r>
        <w:t>Schadenszins hat der Versicherer nur insoweit zu entrichten, als der bei ihm gegen die Folgen der Haftpflicht Versicherte selbst solchen Zins schuldet. Der Schadenszins bildet einen Teil des Schadens, für den der Versicherer auf Grund des Versicherungsvertrages einzustehen hat. Er wird vom Haftpflichtigen vom Tag hinweg geschuldet, auf den der Schaden ermittelt worden ist, und bildet den BGE 82 II 460 S. 464 Ausgleich dafür, dass der Ersatzberechtigte den betreffenden Betrag erst später erhält, ihn also in der Zwischenzeit nicht nutzen konnte (vgl. VON TUHR, Allg. Teil des OR, § 10 III 2, c; BGE 34 II 612 , BGE 70 II 95 Erw. 6, BGE 81 II 519 Erw. 6). Hier braucht jedoch nicht geprüft zu werden, von wann an und zu welchem Zinssatze der Haftpflichtige zu Schadenszins verpflichtet sei. Denn die Haftung des Versicherers für den Schadenszins kann nur innerhalb der mit dem Versicherer vereinbarten oder doch von diesem als Grundlage des Fahrzeugausweises nach Art. 7 MFG bescheinigten Versicherungssumme bestehen. Übersteigt wie hier schon der Kapitalschaden diesen Betrag, dann bleibt kein Raum für eine zusätzliche Haftung des Versicherers für den Schadenszins. Nichts Abweichendes folgt aus der gesetzlichen Umschreibung des direkten Forderungsrechtes des Geschädigten gegen den Haftpflichtversicherer in Art. 49 und 50 MFG. Gewiss setzt dieses Forderungsrecht nicht einmal unbedingt einen gültigen Versicherungsvertrag voraus, sondern der Versicherer wird bei der im Sinne von Art 7 MFG ausgestellten Bescheinigung über die Haftpflichtversicherung behaftet ( BGE 69 II 169 ). Allein die dieser rechtsgeschäftlichen Erklärung (und den gesetzlichen Minimalansätzen nach Art. 52 MFG) entsprechenden Versicherungssummen begrenzen die Leistungspflicht des Versicherers, und diese bleibt eine solche aus Versicherungsrecht (vgl. OFTINGER, Haftpflichtrecht II 978; GUHL, OR § 124 II b). Daher kommt nicht etwa in Frage, dass der Versicherer seinerseits für die ihm obliegende Leistung Schadenszins zu zahlen habe, denn er schuldet nicht Schadenersatz, sondern hat nur für die Schadenersatzpflicht eines Andern bis zur deklarierten Maximalsumme einzustehen. Für ihre gegenteilige Ansicht berufen sich die Kläger auf die Botschaft zum MFG-Entwurf (BBl 1930 II 875) und auf BGE 56 II 212 ff. Beide Publikationen betreffen aber den vom Versicherer bei eigenem Verzug zu leistenden BGE 82 II 460 S. 465 Verzugszins und erörtern die Frage, von welchem Zeitpunkt an der Versicherer als im Verzug befindlich betrachtet werden müsse. Dass der Versicherer die Folgen eines ihn selbst treffenden Verzuges wie ein anderer Schuldner zu tragen hat und nicht befugt ist, von ihm geschuldete Verzugszinsen in die Versicherungssumme einzurechnen, versteht sich von selbst.</w:t>
      </w:r>
    </w:p>
    <w:p>
      <w:r>
        <w:rPr>
          <w:b/>
        </w:rPr>
        <w:t>E. 2</w:t>
      </w:r>
    </w:p>
    <w:p>
      <w:r>
        <w:t>Verzug kann erst nach Fälligkeit der Verbindlichkeit eintreten und wird nach allgemeinen Grundsätzen, sofern ein bestimmter Verfalltag weder vereinbart ist noch sich infolge einer gültigen Kündigung ergibt, erst durch Mahnung herbeigeführt ( Art. 102 OR ). Für Leistungen aus Versicherungsvertrag gilt die besondere Vorschrift von Art. 41 VVG . Danach tritt die Fälligkeit mit dem Ablauf von vier Wochen ein, seitdem der Versicherer Angaben erhalten hat, aus denen er sich von der Richtigkeit der gegen ihn erhobenen Ansprüche überzeugen konnte. Dieser Norm untersteht auch die Haftpflichtversicherung ( BGE 56 II 212 ff.). Freilich sind die Ausführungen dieser Entscheidung in der Literatur zum Teil kritisiert worden (STÄHELI in SJZ 27 S. 92 mit Hinweis auf KÖNIG, SJZ 26 S. 161 ff.), und das Bundesgericht selbst (I. Zivilabteilung) hat im Urteil vom 3. Juni 1947 i.S. "Zürich" und Berra c. Confédération suisse und Udry, Erw. 11, bemerkt, im Gebiete der Haftpflicht nach MFG könne der Lauf jener Frist nicht mehr, gemäss jenem vor Inkrafttreten des MFG ergangenen Entscheide, an die Anzeige einer gegen den Haftpflichtigen angehobenen Klage geknüpft werden. In der Tat ist nunmehr dem direkten Forderungsrecht des Geschädigten und anderer Anspruchsberechtigter gegen den Haftpflichtversicherer Rechnung zu tragen; denn oftmals sieht der Anspruchsberechtigte infolgedessen von jeglicher Klage gegen den Haftpflichtigen ab. Trotzdem bleibt aber Art. Art. 41 VVG für den Eintritt der Fälligkeit des Versicherungsanspruches auch bei der Haftpflichtversicherung massgebend, und zwar auch wenn sich diese auf eine Haftpflicht nach MFG bezieht. Nur ist der Versicherungsanspruch BGE 82 II 460 S. 466 in diesem Falle nicht davon abhängig, dass der Haftpflichtige selber vom Anspruchsberechtigten belangt werde. Um die Frist des Art. 41 VVG in Gang zu bringen, genügt es vielmehr, dass der Anspruchsberechtigte dem Versicherer das Bestehen der Haftpflicht in einem bestimmten (Minimal-)Betrag darlege und sich als den Anspruchsberechtigten gehörig ausweise. Im vorliegenden Falle vermochten die Kläger der Beklagten im Oktober 1953 zwar das Bestehen der Haftpflicht im vollen Betrag der Versicherungssumme einwandfrei nachzuweisen, was die Beklagte denn auch sogleich anerkannte. Es war aber damals noch nicht ausgemacht, wer die Versicherungssumme zu beziehen habe, d.h. in welchem Verhältnis die Kläger und die beiden beteiligten Pensionskassen berechtigt seien. Die Beklagte, die durch die früheren Mitteilungen der beiden Kassen gehindert war, den Klägern etwas auszuzahlen, blieb bis zum 10. Februar 1955 im Ungewissen darüber, wem sie die Zahlung zu leisten habe. Irgendeine Mahnung erfolgte bis dahin nicht. Als ihr dann die Vereinbarung der Kläger mit den beiden Kassen bekanntgegeben wurde und sie die nötigen Ausweise besass, zahlte sie die Summe ungesäumt aus. Unter diesen Umständen war sie nicht in Verzug gekommen. Gewiss hätte ein Verzug bereits während des Prätendentenstreites herbeigeführt werden können (vgl. BECKER, N. 1 und 6 zu Art. 168 OR , BGE 50 II 393 /4). Dazu wäre namentlich eine gemeinsam von allen Prätendenten an die Beklagte gerichtete Aufforderung geeignet gewesen, einem von ihnen (unter Vorbehalt ihrer Auseinandersetzung) oder einem Dritten zu treuen Handen zu zahlen. Eine solche Aufforderung ist aber vor dem Februar 1955 nicht ergangen. Zur Hinterlegung nach Art. 168 OR war die Beklagte zwar berechtigt, aber nicht verpflichtet. Zu Unrecht berufen sich die Kläger auf den Kommentar OSER/SCHÖNENBERGER, N. 4 zu Art. 168 und N. 9-14 zu Art. 92 OR . Wohl heisst es an der ersten Stelle, dass den Schuldner "nur die Hinterlegung von den meisten Verzugsfolgen BGE 82 II 460 S. 467 befreit". Was damit gemeint ist, ergibt sich jedoch aus der zweiten Stelle, wo u.a. gesagt wird, der vertragliche Zins laufe weiter, und die Gefahr gehe vor der Hinterlegung nicht auf den Gläubiger über. Das sind keine eigentlichen Verzugsfolgen, sondern rechtliche Nachteile, die sich an die Nichterfüllung knüpfen, gleichgültig ob diese einen Verzug in sich schliesst oder nicht. Etwas anderes sagt auch VON TUHR nicht an der von OSER/SCHÖNENBERGER zitierten Stelle (Allg. Teil des OR § 65 V 4); vielmehr wird dort richtig ausgefuhrt, der bei Eintritt des Gläubigerverzuges nicht selber im Verzug befindliche Schuldner werde gleichwohl weiterhin Zinsen schuldig, "die auf anderm Grunde" (als auf Verzug), "insbesondere auf Vertrag beruhen". Es kommt nicht in Frage, einen nicht im Verzug befindlichen Schuldner zur Zahlung von Verzugszinsen zu verpflichten. Und hier ist eben bis zum 10. Februar 1955 keine Aufforderung, die Versicherungssumme zu zahlen, somit keine Mahnung erfolgt, die die Beklagte zugleich im Sinne von Art. 41 VVG über die gebotene Art der Erfüllung orientiert hätte.</w:t>
      </w:r>
    </w:p>
    <w:p>
      <w:r>
        <w:rPr>
          <w:b/>
        </w:rPr>
        <w:t>E. 3</w:t>
      </w:r>
    </w:p>
    <w:p>
      <w:r>
        <w:t>Zur Zahlung von Bereicherungszins wäre die Beklagte nur verpflichtet, wenn ihr zum Nachteile der Kläger ein Zinsgenuss ungerechtfertigterweise zuteil geworden wäre. Davon kann aber keine Rede sein; denn wenn die Beklagte bis zur Zahlung einen Zinsertrag von der Versicherungssumme bezog, war dies ein rechtmässig ihr zufliessender Nutzen, da sie die Leistung während des Streites der Ansprecher, die ihr keinen zum Empfang der Zahlung Berechtigten bezeichneten, zurückhalten durfte.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