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362</w:t>
      </w:r>
    </w:p>
    <w:p>
      <w:r>
        <w:t>Bundesgericht (BGE), 1956-01-01, DE</w:t>
      </w:r>
    </w:p>
    <w:p>
      <w:r>
        <w:rPr>
          <w:b/>
        </w:rPr>
        <w:t xml:space="preserve">Quelle: </w:t>
      </w:r>
      <w:r>
        <w:t>https://mcp.opencaselaw.ch/entscheid/bge_BGE_82_II_362</w:t>
      </w:r>
    </w:p>
    <w:p>
      <w:r>
        <w:t>FR: ATF 82 II 362</w:t>
      </w:r>
    </w:p>
    <w:p>
      <w:r>
        <w:t>IT: DTF 82 II 362</w:t>
      </w:r>
    </w:p>
    <w:p>
      <w:pPr>
        <w:pStyle w:val="Heading2"/>
      </w:pPr>
      <w:r>
        <w:t>Regeste</w:t>
      </w:r>
    </w:p>
    <w:p>
      <w:r>
        <w:t>Regeste Berufung. Gegen einen Entscheid über die Ermächtigung zur Adoption im Sinne von Art. 267 ZGB ist die Berufung an das Bundesgericht nicht zulässig, selbst wenn die Adoption zur Folge hat, dass die Eltern des Kindes die elterliche Gewalt verlieren.</w:t>
      </w:r>
    </w:p>
    <w:p>
      <w:r>
        <w:t>Regeste Recours en réforme. Le recours en réforme n'est pas recevable contre une décision concernant l'autorisation de l'adoption au sens de l'art. 267 CC, même si l'adoption a pour effet de faire perdre la puissance paternelle aux parents de l'enfant.</w:t>
      </w:r>
    </w:p>
    <w:p>
      <w:r>
        <w:t>Regesto Ricorso per riforma. Non può essere impugnata con ricorso per riforma la decisione concernente l'autorizzazione di adozione a sensi dell'art. 267 CC, anche se la per effetto di privare della potestà paterna i genitori dell'adottando.</w:t>
      </w:r>
    </w:p>
    <w:p>
      <w:pPr>
        <w:pStyle w:val="Heading2"/>
      </w:pPr>
      <w:r>
        <w:t>Erwägungen</w:t>
      </w:r>
    </w:p>
    <w:p>
      <w:r>
        <w:rPr>
          <w:b/>
        </w:rPr>
        <w:t>E. 1</w:t>
      </w:r>
    </w:p>
    <w:p>
      <w:r>
        <w:t>Die Vormundschaftsbehörde Thalwil und der Bezirksrat Horgen, die in der Berufungsschrift als Berufungsbeklagte genannt sind, haben am kantonalen Verfahren nicht als Parteien, sondern als entscheidende Behörden teilgenommen. Antragsteller waren dort die Amtsvormundschaft des Bezirkes Horgen und der Gemeinderat Thalwil. Nur diese können daher vor Bundesgericht als Gegenpartei der Berufungskläger gelten.</w:t>
      </w:r>
    </w:p>
    <w:p>
      <w:r>
        <w:rPr>
          <w:b/>
        </w:rPr>
        <w:t>E. 2</w:t>
      </w:r>
    </w:p>
    <w:p>
      <w:r>
        <w:t>Der angefochtene Entscheid betrifft die Frage, ob im vorliegenden Fall die Ermächtigung zur Adoption im Sinne von Art. 267 ZGB zu erteilen sei. Dabei handelt es sich wie bei der Zustimmung der vormundschaftlichen Behörden zu dem vom Vormund abgeschlossenen Adoptionsvertrag ( Art. 422 Ziff. 1 ZGB ), gegen die das zulässige kantonale Rechtsmittel, der Rekurs an die Justizdirektion als obere Aufsichtsbehörde in Vormundschaftssachen, nicht ergriffen wurde, um ein Geschäft der sog. freiwilligen Gerichtsbarkeit. Der angefochtene Entscheid ist also nicht in einer Zivilrechtsstreitigkeit im Sinne von Art. 44 OG ergangen (vgl. BGE 78 II 180 ). Die Berufungskläger behaupten dies denn auch selber nicht, sondern machen geltend, gegen den angefochtenen Entscheid sei die Berufung nach Art. 44 lit. b OG zulässig, weil ihnen durch die Bewilligung der Adoption ihres Kindes, das durch ihre Heirat legitimiert worden sei, mittelbar die elterliche Gewalt entzogen werde. Dabei verkennen sie jedoch den klaren Sinn von Art. 44 lit. b OG . Diese Vorschrift spricht nur von der Entziehung und Wiederherstellung der elterlichen Gewalt gemäss Art. 285 und 287 ZGB und will unzweifelhaft nur die Möglichkeit schaffen, dass die Beteiligten die in Anwendung dieser Bestimmung getroffenen Entscheidungen durch das Bundesgericht überprüfen lassen können. Eine Entscheidung, die den Verlust der elterlichen Gewalt bewirkt, unterliegt also der Weiterziehung an das Bundesgericht nur dann, wenn sie BGE 82 II 362 S. 365 sich auf Art. 285 ZGB stützt, nicht auch dann, wenn sich der Verlust der elterlichen Gewalt aus der Anwendung anderer Bestimmungen ergibt. Demgemäss wurde unter dem früheren OG, das als Rechtsmittel gegen kantonale Entscheidungen über den Entzug und die Wiederherstellung der elterlichen Gewalt im Sinne von Art. 285 und 287 ZGB anstelle der Berufung die zivilrechtliche Beschwerde vorsah (Art. 86 Ziff. 2 aoG), die Weiterziehung von Entscheidungen nach Art. 286 ZGB als unzulässig erklärt, obwohl durch die Bestellung eines Vormundes für die Kinder auf Grund dieser Bestimmung die elterliche Gewalt aufgehoben wird ( BGE 38 II 771 , BGE 65 II 119 ). Im vorliegenden Fall kann nichts anderes gelten. Ob die Adoption des Kindes Barbara Susanne zu bewilligen sei, wodurch die elterliche Gewalt der Berufungskläger beseitigt würde, ist eine Frage der Anwendung von Art. 267 ZGB . Art. 285 ZGB spielt bei dieser Entscheidung keine Rolle. Der angefochtene Entscheid fällt daher nicht unter Art. 44 lit. b OG . BIRCHMEIER erklärt an der von den Berufungsklägern angerufenen Stelle (N. 6 b zu Art. 44 OG , S. 131) nicht allgemein, dass die Berufung auch bei bloss mittelbarem Gewaltentzug zulässig sei. Er sagt vielmehr nur, die elterliche Gewalt könne ausdrücklich oder dadurch entzogen werden, dass dem Unmündigen ein Vormund bestellt werde; auch in diesem Falle bloss mittelbaren Gewaltentzuges sei der Weiterzug zulässig. Damit wollte er die Ausführungen in der vorhergehenden Note (6 a), wonach es sich um einen Gewaltentzug nach Art. 285 ZGB handeln muss, offensichtlich nicht widerrufen. Das von ihm angeführte PräjudizBGE 47 II 16betrifft einen Fall, wo der Scheidungsrichter in gesetzwidriger Weise die Kinderzuteilung der Vormundschaftsbehörde überlassen und diese hierauf die Kinder "gemäss Art. 285 und 368 ZGB " unter Vormundschaft gestellt hatte. Diese von den kantonalen Rekursinstanzen bestätigte Massnahme lief zweifellos auf einen Entzug der elterlichen Gewalt gemäss Art. 285 ZGB BGE 82 II 362 S. 366 hinaus. Indem das Bundesgericht in diesem Falle die zivilrechtliche Beschwerde im Sinne von Art. 86 Ziff. 2 aoG zuliess, bekannte es sich also keineswegs zur Auffassung, dass Entscheidungen, die den Verlust der elterlichen Gewalt nach sich ziehen, auch dann ans Bundesgericht weitergezogen werden können, wenn sie sich nicht auf Art. 285 ZGB stützen.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