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308</w:t>
      </w:r>
    </w:p>
    <w:p>
      <w:r>
        <w:t>Bundesgericht (BGE), 1956-01-01, DE</w:t>
      </w:r>
    </w:p>
    <w:p>
      <w:r>
        <w:rPr>
          <w:b/>
        </w:rPr>
        <w:t xml:space="preserve">Quelle: </w:t>
      </w:r>
      <w:r>
        <w:t>https://mcp.opencaselaw.ch/entscheid/bge_BGE_82_II_308</w:t>
      </w:r>
    </w:p>
    <w:p>
      <w:r>
        <w:t>FR: ATF 82 II 308</w:t>
      </w:r>
    </w:p>
    <w:p>
      <w:r>
        <w:t>IT: DTF 82 II 308</w:t>
      </w:r>
    </w:p>
    <w:p>
      <w:pPr>
        <w:pStyle w:val="Heading2"/>
      </w:pPr>
      <w:r>
        <w:t>Regeste</w:t>
      </w:r>
    </w:p>
    <w:p>
      <w:r>
        <w:t>Regeste 1. Art. 41, 49 OR, Art. 28 ZGB. Schadenersatz- und Genugtuungspflicht einer Gewerkschaft, die einen Aussenseiter in Anwendung der Absperrklausel eines Gesamtarbeitsvertrages von seinem Arbeitsplatz verdrängt. a) Ursächlicher Zusammenhang (Erw. 1). b) Widerrechtlichkeit (Erw. 2). c) Verschulden; Irrtum über die Widerrechtlichkeit schliesst es nicht aus (Erw. 3). d) Schwere der Verletzung und des Verschuldens als Voraussetzung der Genugtuung (Erw. 5). 2. Klage auf Feststellung der Widerrechtlichkeit einer Verdrängung; Interesse des Klägers, der gleichzeitig eine Schadenersatz- und Genugtuungsklage erhebt (Erw. 6). 3. Art. 60 ZGB. Rechtsfähigkeit der Sektion einer als Genossenschaft organisierten Gewerkschaft? (Erw. 8).</w:t>
      </w:r>
    </w:p>
    <w:p>
      <w:r>
        <w:t>Regeste 1. Art. 41, 49 CO, 28 CC. Dommages-intérêts et réparation morale dus par un syndicat qui, en vertu de la clause d'exclusivité d'un contrat collectif de travail, évince un dissident de sa place. a) Causalité (consid. 1). b) Illicéité (consid. 2). c) Faute; elle n'est pas exclue par l'erreur sur l'illicéité (consid. 3). d) Gravité de la lésion et de la faute, considérée comme condition de la réparation morale (consid. 5). 2. Action en constatation de l'illicéité de l'évincement; intérêt du demandeur qui actionne également en dommages-intérêts et en réparation morale (consid. 6). 3. Art. 60 CC. La section d'un syndicat organisé sous forme de société coopérative a-t-elle la jouissance des droits civils? (consid. 8).</w:t>
      </w:r>
    </w:p>
    <w:p>
      <w:r>
        <w:t>Regesto 1. Art. 41, 49 CO, art. 28 CC. Risarcimento del danno e riparazione dovuti da un sindacato che, invocando la clausola d'esclusività d'un contratto collettivo di lavoro, fa perdere ad un dissidente il suo posto di lavoro. a) Causalità (consid. 1). b) Illeceità (consid. 2). c) Colpa; non è esclusa dall'errore sull'illeceità (consid. 3). d) Gravità dell'offesa e della colpa quale presupposto della riparazione (consid. 5). 2. Azione di accertamento dell'illeceità dell'eliminazione economica; interesse dell'attore che promuove contemporaneamente un'azione di risarcimento del danno e di riparazione (consid. 6). 3. Art. 60 CC. La sezione d'un sindacato organizzato nella forma della società cooperativa gode dei diritti civili? (consid. 8).</w:t>
      </w:r>
    </w:p>
    <w:p>
      <w:pPr>
        <w:pStyle w:val="Heading2"/>
      </w:pPr>
      <w:r>
        <w:t>Erwägungen</w:t>
      </w:r>
    </w:p>
    <w:p>
      <w:r>
        <w:rPr>
          <w:b/>
        </w:rPr>
        <w:t>E. 1</w:t>
      </w:r>
    </w:p>
    <w:p>
      <w:r>
        <w:t>Der Kläger leitet seinen Schadenersatz- und Genugtuungsanspruch aus einer unerlaubten Handlung im Sinne des Art. 41 OR ab und sieht sie darin, dass die Beklagten ihn unter Berufung auf Art. 9 ihrer Berufsordnung aus seiner Arbeitsstelle bei der Gebr. Fretz AG verdrängt hätten. Hiegegen wenden die Beklagten ein, nicht sie hätten eine unerlaubte Handlung begangen, sondern wenn eine solche überhaupt vorliege, falle sie der Firma Gebr. Fretz AG, die den Kläger entlassen habe, zur Last; die Klage sei daher abzuweisen, weil die Beklagten den behaupteten Schaden und die angebliche Verletzung in den persönlichen Verhältnissen nicht verursacht hätten. Dieser Einwand hält nicht Stich. Nach den tatsächlichen Feststellungen des Bezirksgerichts, auf die das Obergericht verweist und die daher das Bundesgericht binden, ist nicht nur der Kläger von der Lithographia Zürich durch das Schreiben vom 28. Juli 1952 in Kenntnis gesetzt worden, dass er als Aussenseiter die Gebr. Fretz AG sofort verlassen müsse; vielmehr haben die Beklagten in gegenseitigem Einvernehmen ihren Standpunkt auch dieser Firma mitgeteilt und sofortige Entlassung des Klägers verlangt. Aus dem Schreiben der Gebr. Fretz AG vom 31. Juli 1952 ergibt sich, dass sie ihr dabei gedroht haben, das Tarifamt anzurufen. Sie haben also ihr Begehren als einen aus der Berufsordnung abgeleiteten Rechtsanspruch hingestellt und dessen Durchsetzung auf dem Wege eines Schiedsverfahrens angedroht. Damit haben sie den Anstoss zur Entlassung des Klägers gegeben, sie also verursacht. Der ursächliche Zusammenhang zwischen ihrem Verhalten und der Entlassung des Klägers ist auch adäquat und damit rechtserheblich; denn es lag nicht ausserhalb des gewöhnlichen Laufes der Dinge, dass die Gebr. Fretz AG sich beugte.</w:t>
      </w:r>
    </w:p>
    <w:p>
      <w:r>
        <w:rPr>
          <w:b/>
        </w:rPr>
        <w:t>E. 2</w:t>
      </w:r>
    </w:p>
    <w:p>
      <w:r>
        <w:t>Die Ansprüche aus unerlaubter Handlung setzen die Widerrechtlichkeit der Tat voraus ( Art. 41 Abs. 1 OR ). BGE 82 II 308 S. 315 a) Nach der Rechtsprechung des Bundesgerichts sind kollektive Massnahmen wirtschaftlicher Art mit dem Zwecke, von Dritten ein bestimmtes Verhalten zu erzwingen oder sie wegen eines solchen zu massregeln, nicht schlechthin erlaubt. Sie sind unzulässig, wenn der verfolgte Zweck oder die angewendeten Mittel rechtswidrig sind oder den guten Sitten widersprechen oder wenn der angestrebte Vorteil zum zugefügten Schaden in einem offenbaren Missverhältnis steht. InBGE 62 II 280wurde entschieden, ein solches könne unter Umständen selbst dann verneint werden, wenn die Massnahme die wirtschaftliche Existenz des Betroffenen vernichte. AuchBGE 76 II 287führt noch aus, ein Boykott mit so einschneidender Wirkung sei zulässig, wenn schutzwürdige Interessen des Urhebers die Fernhaltung des Boykottierten von dem in Frage stehenden Wirtschaftsgebiet erheischten. Unter Hinweis auf diese Rechtsprechung ist das Bezirksgericht der Auffassung, eine Absperrklausel von der Art des Art. 9 BO sei dann zulässig, wenn, wie im vorliegenden Falle, ihr Zweck sie rechtfertige. Das Bezirksgericht verkennt indessen, dass die Frage, ob zwischen dem verfolgten Zwecke und den Auswirkungen der Massnahme für den Betroffenen ein Missverhältnis bestehe, sich nicht stellt, wenn die Massnahme schon deshalb widerrechtlich ist, weil ihr Zweck oder das angewendete Mittel gegen die Rechtsordnung verstösst, insbesondere den guten Sitten widerspricht oder den Betroffenen in seiner vom Rechte ( Art. 28 ZGB ) geschützten Persönlichkeit verletzt. Bei Massnahmen, die darauf ausgehen, einen Arbeitnehmer zum Eintritt in eine Gewerkschaft zu zwingen, trifft das sozusagen immer zu. Gegen die guten Sitten und das Recht der Persönlichkeit verstossen insbesondere Vereinbarungen, durch welche Arbeitgeber verpflichtet werden, nur Mitglieder der vertragsschliessenden Gewerkschaft zu beschäftigen ( BGE 75 II 315 ). Mit solchen Absperrklauseln gehen die Vertragsschliessenden darauf aus, den Aussenseitern die berufliche Betätigung als Arbeitnehmer BGE 82 II 308 S. 316 zu verunmöglichen oder so zu erschweren, dass sie um des täglichen Brotes willen der Gewerkschaft beitreten. Der Entschluss, einer solchen anzugehören oder nicht anzugehören, muss aber nach der in der Schweiz vorherrschenden Auffassung über die persönliche Freiheit ungezwungen gefasst werden können. Dass auch der Staat die persönliche Freiheit einschränkt, ändert nichts. Die Bildung von Gewerkschaften und die Zugehörigkeit zu solchen hat er der freien Vereinbarung überlassen. Damit verträgt es sich nicht, dass eine Gewerkschaft jemanden zum Eintritt zwingt, indem sie ihm sonst die Möglichkeit, sich und seine Familie durch berufliche Arbeit zu ernähren, unterbindet oder erschwert. b) Die Absperrklausel der Berufsordnung für das Lithographiegewerbe hält somit vor der Rechtsordnung nicht stand. Die Beklagten handelten widerrechtlich, indem sie den Kläger, weil er ihnen nicht angehörte, von seiner Arbeitsstelle bei der Gebr. Fretz AG verdrängten. Der Einwand der Beklagten, der Kläger habe sich unter Anrufung der Delegiertenversammlung dem Ausschluss aus dem SLB widersetzt, weshalb der Zwang zum Wiedereintritt ihn in seiner Persönlichkeit nicht verletze, vermag nicht, hiegegen aufzukommen. Auf die Rechte der Persönlichkeit kann nicht verzichtet werden. Indem der Kläger dem SLB angehörte und sich gegen den Ausschluss zur Wehr setzte, konnte er sich des Rechts, später aus freiem Entschluss dem Verbande fernzubleiben und als Nichtmitglied eine Arbeitsstelle zu versehen, nicht entäussern. Ebensowenig hilft der Einwand, der Kläger wünsche noch im vorliegenden Prozesse, in den SLB aufgenommen zu werden. Das Obergericht hat ihn mit der Begründung geschützt, durch dieses Verlangen anerkenne er die Berufsordnung, womit dem Angriff gegen deren Art. 9 der Boden entzogen sei und die Beklagten den Kläger von seiner Arbeitsstelle hätten verdrängen dürfen, solange er den Beitritt zum SLB, dem sie sich nicht widersetzten, nicht BGE 82 II 308 S. 317 erklärt habe. Dem Kläger kann jedoch nicht unterschoben werden, er habe durch das Begehren um Feststellung, dass die Beklagten ihn auf Gesuch hin entweder als Mitglied aufzunehmen oder ihn als Nichtmitglied bei einem dem VSLB angeschlossenen Arbeitgeber arbeiten zu lassen hätten (Klagebegehren 2), die Rechtmässigkeit ihrer gesamten Berufsordnung, insbesondere auch des Art. 9, anerkennen wollen. Es wäre widersinnig gewesen, einerseits vom Gericht die Feststellung zu verlangen, dass die sich auf Art. 9 BO stützende Verdrängung des Klägers von seiner Arbeitsstelle widerrechtlich sei (Klagebegehren 1) und die Beklagten dem Kläger deswegen Schadenersatz schuldeten (Klagebegehren 3), und anderseits durch die Äusserung der Beitrittsabsicht die Rechtmässigkeit eben dieser beanstandeten Bestimmung der Berufsordnung anerkennen zu wollen. Mit Klagebegehren 2 hat der Kläger nur die Absicht kundgetan, allenfalls in Zukunft dem SLB und einer seiner Sektionen beizutreten, um weiteren Verdrängungsversuchen der Beklagten aus dem Wege zu gehen. Dass er die Verdrängung eines Nichtmitgliedes als widerrechtlich betrachtet, ergibt sich nicht nur klar aus Begehren 1 und 3, die sich auf den in der Vergangenheit liegenden Vorfall stützen, sondern auch aus dem zweiten Teil des Begehrens 2 selbst, wo der Kläger für den Fall, dass er nicht aufgenommen werden sollte, die Feststellung verlangt, dass die Beklagten ihn auch als Aussenseiter bei einer dem VSLB angeschlossenen Firma arbeiten lassen müssten.</w:t>
      </w:r>
    </w:p>
    <w:p>
      <w:r>
        <w:rPr>
          <w:b/>
        </w:rPr>
        <w:t>E. 3</w:t>
      </w:r>
    </w:p>
    <w:p>
      <w:r>
        <w:t>Die Schadenersatzklage aus Art. 41 OR setzt ein Verschulden des Handelnden voraus, sei es Absicht, sei es Fahrlässigkeit. Im vorliegenden Falle liegt Absicht vor, denn die Verdrängung des Klägers erfolgte bewusst und gewollt. Dass sie widerrechtlich sei, weil sie den Kläger in seiner Persönlichkeit verletze und gegen die guten Sitten verstosse, brauchten die handelnden Organe der Beklagten nicht zu wissen. Wenn das Rechtsgefühl des Schädigers mit der BGE 82 II 308 S. 318 Rechtsordnung nicht übereinstimmt, hat er selber, nicht der Geschädigte, den Nachteil daraus zu tragen. Der Einwand der Beklagten, sie seien sich der Rechts- und Sittenwidrigkeit nicht bewusst gewesen, weil ihre Berufsordnung seit über vierzig Jahren in Kraft stehe und täglich unangefochten angewendet worden sei, hilft schon aus diesem Grunde nicht.</w:t>
      </w:r>
    </w:p>
    <w:p>
      <w:r>
        <w:rPr>
          <w:b/>
        </w:rPr>
        <w:t>E. 4</w:t>
      </w:r>
    </w:p>
    <w:p>
      <w:r>
        <w:t>Das Begehren des Klägers um Ersatz des durch die Verdrängung verursachten Schadens ist somit grundsätzlich begründet. Die Beklagten haben indessen in ihrer Eingabe vom 7. Februar 1955 an das Obergericht den Schaden bestritten und auch in Zweifel gezogen, dass der Kläger sich nach dem Verlust der Stelle um einen angemessenen anderen Verdienst bemüht habe. Da das Obergericht zu diesen Anbringen nicht Stellung genommen hat, ist die Sache zur Neubeurteilung des Schadenersatzanspruches zurückzuweisen.</w:t>
      </w:r>
    </w:p>
    <w:p>
      <w:r>
        <w:rPr>
          <w:b/>
        </w:rPr>
        <w:t>E. 5</w:t>
      </w:r>
    </w:p>
    <w:p>
      <w:r>
        <w:t>Auch über den Genugtuungsanspruch gemäss Art. 49 OR ist neu zu urteilen. Das Verschulden der Beklagten ist schwer, da sie die Tat absichtlich begangen haben. Das Vorgehen der Beklagten ist umso unverständlicher, als der Kläger mit seinem Schreiben vom 26. Juli 1952 die Absicht geäussert hatte, dem SLB beizutreten und vom Tage der Stellenannahme an die Beiträge nachzuzahlen, falls die Gebr. Fretz AG ihm nach vier Wochen den Lohn erhöhen würde. Ohne auf die Anfrage, ob er inzwischen ausnahmsweise als Aussenseiter seine Stelle beibehalten dürfe, überhaupt einzutreten, stellten die Beklagten sich mit dem Schreiben vom 28. Juli 1952 schroff auf den Standpunkt, dass er die Arbeitsstelle sofort zu verlassen habe, da er durch einstimmigen Beschluss der Delegiertenversammlung der Sektion Bern aus dem SLB ausgeschlossen worden sei. Auch ist der Kläger durch das Verhalten der Beklagten in seinen persönlichen Verhältnissen schwer verletzt worden. Da praktisch alle Arbeitgeber des Buchdruckergewerbes dem VSLB angehören, sah er sich vor erneuter BGE 82 II 308 S. 319 Arbeitslosigkeit, nachdem er schon seit einem Jahre ohne Anstellung gewesen war. Dem Entscheide der Vorinstanz vorbehalten bleiben dagegen die Fragen des von den Beklagten behaupteten Mitverschuldens des Klägers sowie der Höhe der Genugtuung.</w:t>
      </w:r>
    </w:p>
    <w:p>
      <w:r>
        <w:rPr>
          <w:b/>
        </w:rPr>
        <w:t>E. 6</w:t>
      </w:r>
    </w:p>
    <w:p>
      <w:r>
        <w:t>Dem Rechtsbegehren 1 halten die Beklagten entgegen, die Feststellung der Widerrechtlichkeit sei nur Motiv zu den in Rechtsbegehren 3 verlangten Leistungen, weshalb sie mangels rechtlichen Interesses unzulässig sei. Richtig ist, dass die Feststellungsklage, die an sich von Bundesrechts wegen gegeben ist ( BGE 77 II 344 ), ein Interesse des Klägers an der Feststellung gegenüber dem Beklagten voraussetzt. Im vorliegenden Falle besteht aber ein solches. Der Kläger hat ein Interesse an der Feststellung namentlich dann, wenn seine Leistungsklage abgewiesen werden sollte. Es besteht aber auch sonst. Der Kläger ist noch immer das Opfer der Verdrängung aus seiner Arbeitsstelle bei der Gebr. Fretz AG Er läuft Gefahr, auch von keinem anderen auf die Berufsordnung der Beklagten verpflichteten Arbeitgeber mehr angestellt zu werden, solange er nicht in den SLB eintritt. Diese Gefahr ist umso dringender, als die Beklagten hartnäckig an der Zulässigkeit der Absperrklausel festhalten. Es ist zu befürchten, dass sie weiterhin ihren Einfluss geltend machen werden, um die Anstellung des Klägers durch Mitglieder des VSLB zu verhindern oder ihn aus einer neuen Anstellung zu verdrängen. Da er nicht verpflichtet ist, dieser Gefahr durch Eintritt in den SLB vorzubeugen, hat das Obergericht das Klagebegehren 1 gutzuheissen.</w:t>
      </w:r>
    </w:p>
    <w:p>
      <w:r>
        <w:rPr>
          <w:b/>
        </w:rPr>
        <w:t>E. 7</w:t>
      </w:r>
    </w:p>
    <w:p>
      <w:r>
        <w:t>Der Kläger will sich nicht damit abfinden, dass das Obergericht lediglich von der Bereitschaft des SLB, ihn auf Gesuch hin wieder aufzunehmen, Vormerk genommen und damit den Rest des Rechtsbegehrens 2 als gegenstandslos erachtet hat. Er macht geltend, dieses Begehren enthalte zwei selbständige Anträge. Die Bereitschaft des SLB, ihn als Mitglied aufzunehmen, nütze ihm nichts, BGE 82 II 308 S. 320 solange er keine neue Stelle habe. Wenn das Gericht nicht ausserdem feststelle, dass er berechtigt sei, auch als Aussenseiter bei einem Mitgliede des VSLB zu arbeiten, werde er voraussichtlich nie mehr im schweizerischen Lithographiegewerbe arbeiten können. Diese Rüge ist unbegründet. Mit Rechtsbegehren 2 hat der Kläger nicht verlangt, es sei festzustellen, dass die Beklagten sowohl verpflichtet seien, ihn auf Gesuch in den Verband aufzunehmen, als auch, ihn als Aussenseiter bei einer dem VSLB angeschlossenen Firma arbeiten zu lassen. Beantragt wurde vielmehr, es sei festzustellen, dass sie verpflichtet seien, entweder das eine oder das andere zu tun. Nachdem sie sich bereit erklärt haben, das eine zu tun, ist für die Feststellung, dass sie auch das andere tun müssten, kein Raum, die Berufung also insoweit abzuweisen.</w:t>
      </w:r>
    </w:p>
    <w:p>
      <w:r>
        <w:rPr>
          <w:b/>
        </w:rPr>
        <w:t>E. 8</w:t>
      </w:r>
    </w:p>
    <w:p>
      <w:r>
        <w:t>Das Obergericht hat offen gelassen, ob die Lithographia Zürich parteifähig sei. Da sie die Parteifähigkeit, wie schon vor Obergericht, auch im Berufungsverfahren noch bestreitet, hat das Obergericht die Frage zu beurteilen. Der Entscheid hängt davon ab, ob die Lithographia Zürich nach den Bestimmungen des Bundesrechts rechtsfähig ist, d.h. Persönlichkeit besitzt. Das träfe nicht nur zu, wenn sie - wie der SLB, in dem sie die Stellung einer Sektion einnimmt - als Genossenschaft im Handelsregister eingetragen wäre; denn die Statuten des SLB verlangen diese Eigenschaft von ihr nicht. Sektion des SLB mit eigener Persönlichkeit kann sie auch sein, wenn sie ein Verein ist. Das setzt voraus, dass sie schriftliche Statuten habe, die ihren Willen, als Körperschaft zu bestehen, ausdrücken und über ihren Zweck, ihre Mittel und ihre Organisation Aufschluss geben ( Art. 60 ZGB ). Nach Art. 28 der Statuten des SLB müsste das zutreffen, doch bestreiten es die Beklagten, obschon die Lithographia Zürich einen Namen führt, im Volkshaus Zürich einen eigenen Sitz hat, Sektionsversammlungen durchführt, sich durch einen "Vorstand" selbst verwaltet, ein eigenes Sekretariat mit BGE 82 II 308 S. 321 vollberuflichen Sekretären unterhält, eigene Beiträge erhebt, eigenes Vermögen besitzt und nach aussen handelnd auftritt. Sollte sich ergeben, dass die Lithographia Zürich keine Statuten hat, so wäre die Klage ihr gegenüber abzuweisen. Sie hätte dann nicht nur keine Persönlichkeit, sondern könnte auch nicht gemäss Art. 62 ZGB einer einfachen Gesellschaft gleichgestellt werden, da sie alsdann nur Organ des SLB wäre, das wie durch sein rechtmässiges auch durch sein rechtswidriges Verhalten diesen Verband, und nur ihn, verpflichten würde. Übrigens wäre sie auch als einfache Gesellschaft nicht parteifähig. Sollte das Obergericht dagegen als bewiesen erachten, dass die Lithographia Zürich Statuten habe, so wäre Rechtsbegehren 2 beiden Beklagten gegenüber gutzuheissen und über Rechtsbegehren 3 beiden gegenüber im Sinne der bundesgerichtlichen Erwägungen materiell neu zu 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