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15</w:t>
      </w:r>
    </w:p>
    <w:p>
      <w:r>
        <w:t>Bundesgericht (BGE), 1956-01-01, DE</w:t>
      </w:r>
    </w:p>
    <w:p>
      <w:r>
        <w:rPr>
          <w:b/>
        </w:rPr>
        <w:t xml:space="preserve">Quelle: </w:t>
      </w:r>
      <w:r>
        <w:t>https://mcp.opencaselaw.ch/entscheid/bge_BGE_82_II_15</w:t>
      </w:r>
    </w:p>
    <w:p>
      <w:r>
        <w:t>FR: ATF 82 II 15</w:t>
      </w:r>
    </w:p>
    <w:p>
      <w:r>
        <w:t>IT: DTF 82 II 15</w:t>
      </w:r>
    </w:p>
    <w:p>
      <w:pPr>
        <w:pStyle w:val="Heading2"/>
      </w:pPr>
      <w:r>
        <w:t>Regeste</w:t>
      </w:r>
    </w:p>
    <w:p>
      <w:r>
        <w:t>Regeste Bauhandwerkerpfandrecht. Klage gegen den vorgehenden Pfandgläubiger gemäss Art. 841 ZGB. Was ist im Falle der Reparatur oder des Umbaus eines bereits bestehenden Gebäudes unter dem "den Wert des Bodens übersteigenden Verwertungsanteil" der vorgehenden Pfandgläubiger zu verstehen? Erkennbare Benachteiligung der Bauhandwerker? Berechnung der Entschädigung.</w:t>
      </w:r>
    </w:p>
    <w:p>
      <w:r>
        <w:t>Regeste Hypothèque des artisans et entrepreneurs. Action contre le créancier de rang antérieur conformément à l'art. 841 CC. En cas de réparation ou de transformation d'un bâtiment existant, que faut-il entendre par la "part de collocation, déduction faite de la valeur du sol", qui est revenue au créancier de rang antérieur? Préjudice reconnaissable porté aux artisans et entrepreneurs? Calcul de l'indemnité.</w:t>
      </w:r>
    </w:p>
    <w:p>
      <w:r>
        <w:t>Regesto Ipoteca degli artigiani e imprenditori. Azione promossa contro il creditore pignoratizio anteriore giusta l'art. 841 CC. In caso di riparazione o di trasformazione di un immobile esistente, cosa si deve intendere per "quota del ricavo, dedotto il valore del suolo" che spetta al creditore pignoratizio anteriore? Pregiudizio riconoscibile cagionato agli artigiani e imprenditori. Calcolo dell'indennità.</w:t>
      </w:r>
    </w:p>
    <w:p>
      <w:pPr>
        <w:pStyle w:val="Heading2"/>
      </w:pPr>
      <w:r>
        <w:t>Erwägungen</w:t>
      </w:r>
    </w:p>
    <w:p>
      <w:r>
        <w:rPr>
          <w:b/>
        </w:rPr>
        <w:t>E. 1</w:t>
      </w:r>
    </w:p>
    <w:p>
      <w:r>
        <w:t>(Berufungssumme.)</w:t>
      </w:r>
    </w:p>
    <w:p>
      <w:r>
        <w:rPr>
          <w:b/>
        </w:rPr>
        <w:t>E. 2</w:t>
      </w:r>
    </w:p>
    <w:p>
      <w:r>
        <w:t>Die Forderung der Klägerin ist bei der Pfandverwertung zu Verlust gekommen. Der Ausfall ist also gemäss Art. 841 Abs. 1 ZGB "aus dem den Wert des Bodens übersteigenden Verwertungsanteil der vorgehenden Pfandgläubiger zu ersetzen, sofern das Grundstück durch ihre Pfandrechte in einer für sie erkennbaren Weise zum Nachteil der Handwerker und Unternehmer belastet worden ist." BGE 82 II 15 S. 18 Da das Gesetz den Handwerkern und Unternehmern lediglich ein Vorrecht auf Befriedigung aus den von ihnen geschaffenen Werten gewähren will (vgl. BGE 43 II 611 , BGE 80 II 24 /25), darf die Bestimmung, wonach ein allfälliger Ausfall aus dem "den Wert des Bodens übersteigenden Verwertungsanteil" zu ersetzen ist, im Falle der Reparatur oder des Umbaus eines bereits bestehenden Gebäudes nicht wörtlich genommen werden. Vielmehr ist in einem solchen Falle sinngemäss der Wert, den der Boden samt dem Gebäude vor Beginn der Reparatur bzw. Umbauarbeiten aufwies, als massgebend anzusehen. Nur soweit der bei der Verteilung den vorgehenden Pfandgläubigern zugeflossene Anteil am Verwertungserlös diesen Wert übersteigt, kann er, wenn die übrigen Voraussetzungen von Art. 841 ZGB zutreffen, zur Deckung des Ausfalls herangezogen werden, den die an den fraglichen Arbeiten beteiligten Handwerker und Unternehmer erlitten haben. Bei der Beurteilung der vorliegenden Klage kommt es also in erster Linie darauf an, ob und allenfalls wieweit der - vollständig den vorgehenden Pfandgläubigern zugefallene - Verwertungserlös aus der umgebauten Liegenschaft deren Wert vor dem Umbau überstiegen habe. Die kantonalen Gerichte haben denn auch übereinstimmend erklärt, dass zunächst diese Frage zu prüfen sei. In den hieran anschliessenden Ausführungen, welche diese und die weitere Frage, ob das Grundstück durch die Pfandrechte der Beklagten in einer für diese erkennbaren Weise zum Nachteil der Klägerin belastet worden sei, zum Teil vermengen, haben die kantonalen Gerichte dann allerdings nicht ausdrücklich festgestellt, welchen Wert die Liegenschaft Schmids vor dem Umbau hatte bzw. welches die Differenz zwischen dem Verwertungserlös und diesem Werte war. Aus ihrer Feststellung, dass die Liegenschaft schon zur Zeit des Übergangs an Schmid, nämlich am 22. November 1950, mit Fr. 80'000.-- belastet gewesen sei, während der damalige Gebäudeschätzungswert Fr. 93'500.-- betragen habe, und aus der Tatsache, dass sie im Hinblick auf diese vorbestehende Belastung den BGE 82 II 15 S. 19 Anspruch des Klägers auf Fr. 908.-- beschränkten, darf jedoch geschlossen werden, dass sie annahmen, der Wert der Liegenschaft vor dem Umbau habe dem Betrag der damaligen Grundpfandbelastung entsprochen. Angesichts der amtlichen Gebäudeschätzungen hätte denn auch nicht wohl angenommen werden können, dass die Liegenschaft damals weniger als Fr. 80 000.-- wert und folglich überlastet gewesen sei, was die Klägerin zu beweisen gehabt hätte, weil sie ihren Anspruch u.a. hierauf stützte. Der Umstand, dass die auf den Boden und das umgebaute Gebäude bezügliche Schätzung des Konkursamtes nur Fr. 110'000.-- betrug, kann hieran nichts ändern; zieht man von diesem Betrag die Umbaukosten von ca. Fr. 22'000.-- ab, so bleiben immer noch ca. Fr. 88'000.--. Der Zuschlagspreis betrug dann freilich nur Fr. 82'000.--. Auch hieraus ist aber nicht notwendig zu schliessen, dass die Liegenschaft vor dem Umbau weniger als Fr. 80'000.-- wert gewesen sei; denn erfahrungsgemäss führt die Zwangsverwertung oft zu einer Verschleuderung von Vermögensgegenständen und damit zu einer Wertvernichtung. Die Auffassung der Vorinstanz, dass Schmid die Liegenschaft mit Fr. 120'000.-- stark überzahlt habe, steht mit der Annahme, dass ihr damaliger Wert immerhin Fr. 80'000.-- erreicht habe, nicht im Widerspruch. Wenn schliesslich die Beklagte für ihre nach dem Umbau errichteten Schuldbriefe den 3. und 4. Rang in Anspruch nahm, so beweist dies entgegen der Behauptung der Klägerin nicht etwa, dass die Beklagte die vor dem Umbau vorhanden gewesene Belastung selbst als übersetzt betrachtet habe. Die Erklärung für ihr Begehren, dem zu entsprechen die zurückversetzten Pfandgläubiger keine Bedenken gehabt zu haben scheinen, dürfte vielmehr in den Belehnungsgrundsätzen liegen, welche die Versicherungsinstitutionen im allgemeinen zu beobachten pflegen. Eine Expertise über den Wert vor dem Umbau hat die Klägerin nicht beantragt, sondern eine solche im Gegenteil mindestens implicite als untaugliches Beweismittel abgelehnt. War die Liegenschaft vor dem Umbau wenigstens BGE 82 II 15 S. 20 Fr. 80'000.-- wert und belief sich der reine Verwertungserlös auf Fr. 80'908.--, so ist klar, dass die Klägerin nach Art. 841 ZGB höchstens auf den Betrag von Fr. 908.-- Anspruch erheben könnte, selbst wenn das Grundstück durch die Pfandrechte der vorgehenden Pfandgläubiger, insbesondere der Beklagten, in einer für diese erkennbaren Weise zum Nachteil der Bauhandwerker belastet worden wäre. Diesen Betrag hat die Vorinstanz der Klägerin zugesprochen. Die Beklagte hat sich damit abgefunden. Unter diesen Umständen könnte dahingestellt bleiben, ob eine erkennbare Benachteiligung der Bauhandwerker im Sinne von Art. 841 vorgelegen habe. Es mag aber immerhin bemerkt werden, dass für die Beklagte angesichts der Schätzungen, die bei Errichtung ihrer Pfandrechte bekannt waren, auf jeden Fall nicht erkennbar war, dass ihre Pfandrechte schon insoweit, als sie nur in die Stellung bereits bestehender Hypotheken einrückten, eine den Bauhandwerkern nachteilige Belastung darstellen könnten. Auch deshalb kann höchstens der Fr. 80'000.-- übersteigende Teil des Verwertungserlöses der Klägerin verfallen sein. Der von dieser hervorgehobene Umstand, dass durch die Transaktion der Beklagten die Gesamtbelastung um Fr. 55'000.-- auf Fr. 135 000.-- erhöht wurde, ist, nachdem die Beklagte sich mit der Gutheissung der Klage für Fr. 908.-- abgefunden hat, ohne Bedeutung, weil alle den Betrag von Fr. 80'908.-- übersteigenden Pfandforderungen ungedeckt geblieben sind. Ob der Verwertungserlös bis zum Betrage von Fr. 80'000.-- neben der Glarner Kantonalbank den Gläubigern, die bis zum 19. Januar 1951 den dritten bis fünften Rang innehatten, oder aber der Beklagten zufiel, berührt die Klägerin in keiner Weise. Auf volle Deckung ihres Ausfalls hätte übrigens die Klägerin, deren Rechnung weniger als ein Drittel der gesamten Bausumme ausmachte, beim Vorliegen einer erkennbaren Benachteiligung der Baugläubiger nicht schon dann Anspruch gehabt, wenn der Überschuss des Verwertungserlöses über den Grundstückswert vor dem Umbau BGE 82 II 15 S. 21 den Betrag ihres Guthabens erreicht hätte, sondern nur dann, wenn dieser Überschuss so hoch gewesen wäre wie die gesamte Bausumme von ca. Fr. 22'000.-- (vgl. BGE 76 II 143 und dort zit. Entscheide). Dass die Beklagte durch eine geeignete Kontrolle der Verwendung des von Schmid aufgenommenen Geldes die Verluste der Bauhandwerker hätte verhüten können, mag zutreffen. Dies genügt aber nach Art. 841 ZGB eben nicht, um ihre Haftung zu begründen.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