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9</w:t>
      </w:r>
    </w:p>
    <w:p>
      <w:r>
        <w:t>Bundesgericht (BGE), 1956-01-03, DE</w:t>
      </w:r>
    </w:p>
    <w:p>
      <w:r>
        <w:rPr>
          <w:b/>
        </w:rPr>
        <w:t xml:space="preserve">Quelle: </w:t>
      </w:r>
      <w:r>
        <w:t>https://mcp.opencaselaw.ch/entscheid/bge_BGE_82_III_9</w:t>
      </w:r>
    </w:p>
    <w:p>
      <w:r>
        <w:t>FR: ATF 82 III 9</w:t>
      </w:r>
    </w:p>
    <w:p>
      <w:r>
        <w:t>IT: DTF 82 III 9</w:t>
      </w:r>
    </w:p>
    <w:p>
      <w:pPr>
        <w:pStyle w:val="Heading2"/>
      </w:pPr>
      <w:r>
        <w:t>Regeste</w:t>
      </w:r>
    </w:p>
    <w:p>
      <w:r>
        <w:t>Regeste Ein Rechtsvorschlag, der nur mit dem Mangel neuen Vermögens begründet wird, schliesst nicht den Verzicht auf die Bestreitung der Forderung in sich (Art. 75 SchKG).</w:t>
      </w:r>
    </w:p>
    <w:p>
      <w:r>
        <w:t>Regeste Une opposition que le débiteur motive seulement par le défaut de retour à meilleure fortune ne signifie pas qu'il renonce à contester la créance (art. 75 LP).</w:t>
      </w:r>
    </w:p>
    <w:p>
      <w:r>
        <w:t>Regesto Un'opposizione che il debitore motiva unicamente allegando di non aver acquistato nuovi beni non include la rinuncia a contestare il credito (art. 75 LEF).</w:t>
      </w:r>
    </w:p>
    <w:p>
      <w:pPr>
        <w:pStyle w:val="Heading2"/>
      </w:pPr>
      <w:r>
        <w:t>Erwägungen</w:t>
      </w:r>
    </w:p>
    <w:p>
      <w:r>
        <w:rPr>
          <w:b/>
        </w:rPr>
        <w:t>E. 1</w:t>
      </w:r>
    </w:p>
    <w:p>
      <w:r>
        <w:t>Der Schuldner hat mit dem ersten Teil seiner Erklärung eindeutig Rechtsvorschlag erhoben. Indem er beifügte, er sei "nicht zu besserem Vermögen gelangt", hat er seinen Rechtsvorschlag nicht widerrufen und ihn auch nicht auf die Einrede aus Art. 265 Abs. 2 und 3 SchKG beschränkt. Die in BGE 34 I 186 = Sep. ausg. 11 S. 42 vertretene und von JAEGER (N. 2 zu Art. 75 SchKG ) BGE 82 III 9 S. 11 übernommene Auffassung, dass ein lediglich mit dem Mangel neuen Vermögens begründeter Rechtsvorschlag den Verzicht auf die Bestreitung des Bestandes oder der Fälligkeit der Forderung in sich schliesse, ist in BGE 59 III 125 ff. preisgegeben worden. Sie widerspricht dem in Art. 75 SchKG ausgesprochenen Grundsatz, wonach der Betriebene, der seinen Rechtsvorschlag begründet, damit nicht auf weitere Einreden verzichtet. Die Regel, dass der Rechtsvorschlag ausserhalb der Wechselbetreibung keine Begründung enthalten und eine allfällige Begründung nicht alle Einreden aufführen muss, erleidet eine Ausnahme nur insofern, als der Schuldner, der das Vorhandensein neuen Vermögens im Sinne von Art. 265 SchKG oder im Falle der Pfandbetreibung das Pfandrecht bestreiten will, dies ausdrücklich erklären muss, und als in der Betreibung gegen eine Ehefrau der mitbetriebene Ehemann, der geltend machen will, dass Gütertrennung bestehe oder dass die Ehefrau nur mit dem Sondergute hafte, gemäss Art. 68 bis SchKG begründeten Rechtsvorschlag erheben muss, worauf die obligatorischen Formulare Nr. 3, 37 und 38 hinweisen. Die Annahme, dass ein Rechtsvorschlag mit dem Zusatz, dass kein neues Vermögen vorhanden sei, den Verzicht auf andere Einreden in sich schliesse, wäre auch mit den Erwägungen nicht vereinbar, die zu einer Milderung der Praxis zu Art. 74 Abs. 2 SchKG geführt haben ( BGE 63 III 67 ff., BGE 79 III 98 /99). Ob dem Schuldner die Einrede des mangelnden neuen Vermögens formell überhaupt zustehe, d.h. ob die Forderung auf einem Konkursverlustschein beruhe oder unter Art. 267 SchKG falle, ist für den Entscheid über die Zulassung des Rechtsvorschlags unerheblich und von den Betreibungsbehörden nicht zu prüfen ( BGE 59 III 126 /27).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