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51</w:t>
      </w:r>
    </w:p>
    <w:p>
      <w:r>
        <w:t>Bundesgericht (BGE), 1956-01-01, DE</w:t>
      </w:r>
    </w:p>
    <w:p>
      <w:r>
        <w:rPr>
          <w:b/>
        </w:rPr>
        <w:t xml:space="preserve">Quelle: </w:t>
      </w:r>
      <w:r>
        <w:t>https://mcp.opencaselaw.ch/entscheid/bge_BGE_82_III_51</w:t>
      </w:r>
    </w:p>
    <w:p>
      <w:r>
        <w:t>FR: ATF 82 III 51</w:t>
      </w:r>
    </w:p>
    <w:p>
      <w:r>
        <w:t>IT: DTF 82 III 51</w:t>
      </w:r>
    </w:p>
    <w:p>
      <w:pPr>
        <w:pStyle w:val="Heading2"/>
      </w:pPr>
      <w:r>
        <w:t>Regeste</w:t>
      </w:r>
    </w:p>
    <w:p>
      <w:r>
        <w:t>Regeste 1. Beginn der Rekursfrist gegen einen während der Betreibungsferien oder des Rechtsstillstandes zugestellten Beschwerdeentscheid (Art. 56 SchKG). 2. Eine nur hinsichtlich der Höhe angefochtene Lohnpfändung kann von der Aufsichtsbehörde auch nach ihrer grundsätzlichen Zulässigkeit überprüft und allenfalls aufgehoben werden. 3. Reihenfolge der Pfändung der Vermögensobjekte. Unter "Forderungen" im Sinne von Art. 95 Abs. 1 SchKG sind nicht Lohnguthaben usw. gemäss Art. 93 zu verstehen; solche sind vielmehr erst nach bzw. in Ermangelung von beweglichem und unbeweglichem Vermögen zu pfänden.</w:t>
      </w:r>
    </w:p>
    <w:p>
      <w:r>
        <w:t>Regeste 1. Point de départ du délai de recours contre une décision sur plainte notifiée pendant les féries ou une suspension (art. 56 LP). 2. L'autorité de surveillance peut examiner si une saisie de salaire est justifiée en principe et l'annuler le cas échéant même si cette saisie n'est attaquée qu'en ce qui concerne son montant. 3. Ordre de saisie des biens. Les "créances" dont il est question à l'art. 95 al. 1 LP ne comprennent pas les créances pour salaire et autres créances indiquées à l'art. 93 LP; celles-ci doivent être saisies seulement si des biens meubles et des immeubles font défaut ou s'ils sont insuffisants pour couvrir la créance.</w:t>
      </w:r>
    </w:p>
    <w:p>
      <w:r>
        <w:t>Regesto 1. Inizio del termine di ricorso contro una decisione su reclamo che è stata notificata durante le ferie o una sospensione (art. 56 LEF). 2. L'autorità di vigilanza può esaminare se un pignoramento di salario è giustificato di massima e, se del caso, annullarlo quand'anche il pignoramento sia stato impugnato unicamente per quanto riguarda l'ammontare. 3. Ordine di pignoramento dei beni. I "crediti" di cui all'art. 95 cp. 1 LEF non comprendono i crediti per salari e altri indicati nell'art. 93 LEF; questi devono essere pignorati soltanto se non vi sono beni mobili e immobili o se tali beni non bastano per coprire il credito.</w:t>
      </w:r>
    </w:p>
    <w:p>
      <w:pPr>
        <w:pStyle w:val="Heading2"/>
      </w:pPr>
      <w:r>
        <w:t>Erwägungen</w:t>
      </w:r>
    </w:p>
    <w:p>
      <w:r>
        <w:rPr>
          <w:b/>
        </w:rPr>
        <w:t>E. 1</w:t>
      </w:r>
    </w:p>
    <w:p>
      <w:r>
        <w:t>Die vorschriftswidrig während der Pfingstbetreibungsferien (am 25. Mai 1956) erfolgte Zustellung des angefochtenen Entscheides entfaltete ihre Wirkung erst am 1. Tage nach Ablauf der Ferien, also am 28. Mai, so dass der am 7. Juni aufgegebene Rekurs rechtzeitig war ( BGE 49 III 76 , BGE 67 III 69 ; JAEGER zu Art. 56 N. 3).</w:t>
      </w:r>
    </w:p>
    <w:p>
      <w:r>
        <w:rPr>
          <w:b/>
        </w:rPr>
        <w:t>E. 2</w:t>
      </w:r>
    </w:p>
    <w:p>
      <w:r>
        <w:t>Da der Gläubiger mit seiner Beschwerde vom 28. März 1956 nicht nur weitere Sachpfändungen neben der Lohnpfändung verlangte, sondern diese selbst hinsichtlich ihrer Berechnungsgrundlagen (Verdienst, Existenzminimum) BGE 82 III 51 S. 53 beanstandete, konnte sie nicht in Rechtskraft erwachsen, auch nicht was den Grundsatz bezw. den vom Betreibungsamt gewählten Minimalbetrag betrifft. Die Aufsichtsbehörde konnte daher die Lohnpfändung nach ihrer grundsätzlichen Zulässigkeit überprüfen und sie, wenn sie mit dem Gesetz nicht in Einklang stand, aufheben.</w:t>
      </w:r>
    </w:p>
    <w:p>
      <w:r>
        <w:rPr>
          <w:b/>
        </w:rPr>
        <w:t>E. 3</w:t>
      </w:r>
    </w:p>
    <w:p>
      <w:r>
        <w:t>Im weiteren beanstandet der Rekurrent die Auffassung der Vorinstanz, dass gemäss Art. 95 Abs. 1 SchKG eine Lohnpfändung erst nach der Pfändung von beweglichem Vermögen und eventuell Liegenschaften verfügt werden könnte. Der Sinn der in Art. 95 aufgestellten Reihenfolge der zu pfändenden Vermögenswerte ist der, dass zuerst die dem Schuldner leichter entbehrlichen und rasch verwertbaren Werte herangezogen werden sollen, vor denjenigen, deren er weniger leicht entraten kann; Liegenschaften sind nur zu pfänden, soweit das bewegliche Vermögen zur Deckung nicht ausreicht, oder im Einverständnis von Gläubiger und Schuldner. In der Praxis ist indessen anerkannt, dass unter "Forderungen" nicht Lohnguthaben usw. im Sinne von Art. 93 SchKG zu verstehen und diese vielmehr in letzter Linie, nach bezw. in Ermangelung von beweglichem und unbeweglichem Vermögen zu pfänden sind (JAEGER zu Art. 95 N. 1 S. 290, Art. 93 N. 5 i.f.). Diese Praxis ist berechtigt, denn eigentlich ist die Lohnpfändung nur eine bedingte Pfändung, bedingt nämlich durch die künftige Entstehung der Lohnforderung und durch die Einschränkung gemäss Art. 93, d.h. nur so weit letztere das Existenzminimum übersteigen wird. Auch bei Alimentenbetreibungen, denen das Existenzminimum nur beschränkt entgegengehalten werden kann, ist jene Regel begründet. Es sollen nicht erst künftig entstehende Forderungen ergriffen werden, solange primär pfändbare Werte zur Verfügung stehen. Die Vorinstanz stellte nun fest, dass der Schuldner eine Liegenschaft besitzt, allenfalls auch Mobilien. Diese Feststellung ist für das Bundesgericht verbindlich. Es sind daher zuerst diese Vermögenswerte BGE 82 III 51 S. 54 heranzuziehen; erst wenn sie sich als unzureichend erweisen, kann auf den Lohn gegriffen werden.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