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46</w:t>
      </w:r>
    </w:p>
    <w:p>
      <w:r>
        <w:t>Bundesgericht (BGE), 1956-04-19, FR</w:t>
      </w:r>
    </w:p>
    <w:p>
      <w:r>
        <w:rPr>
          <w:b/>
        </w:rPr>
        <w:t xml:space="preserve">Quelle: </w:t>
      </w:r>
      <w:r>
        <w:t>https://mcp.opencaselaw.ch/entscheid/bge_BGE_82_III_46</w:t>
      </w:r>
    </w:p>
    <w:p>
      <w:r>
        <w:t>FR: ATF 82 III 46</w:t>
      </w:r>
    </w:p>
    <w:p>
      <w:r>
        <w:t>IT: DTF 82 III 46</w:t>
      </w:r>
    </w:p>
    <w:p>
      <w:pPr>
        <w:pStyle w:val="Heading2"/>
      </w:pPr>
      <w:r>
        <w:t>Regeste</w:t>
      </w:r>
    </w:p>
    <w:p>
      <w:r>
        <w:t>Regeste Art. 55 Abs. 2 der Vollziehungsverordnung zum Bundesgesetz über die Banken und Sparkassen, vom 26. Februar 1935. Wann ist ein auf diese Bestimmung gestützter Rekurs zulässig? (Erw. 1). Kosten- und Entschädigungsfrage (Erw. 2).</w:t>
      </w:r>
    </w:p>
    <w:p>
      <w:r>
        <w:t>Regeste Art. 55 al. 2 du règlement d'exécution de la loi fédérale sur les banques et les caisses d'épargne, du 26 février 1935. Quand un recours fondé sur cette disposition légale est-il recevable? (consid. 1). Frais et dépens (consid. 2).</w:t>
      </w:r>
    </w:p>
    <w:p>
      <w:r>
        <w:t>Regesto Art. 55 cp. 2 del regolamento d'esecuzione 26 febbraio 1935 della legge federale su le banche e le casse di risparmio. Quando un ricorso fondato su questa disposizione è ricevibile? (consid. 1). Spese e ripetibili (consid. 2).</w:t>
      </w:r>
    </w:p>
    <w:p>
      <w:pPr>
        <w:pStyle w:val="Heading2"/>
      </w:pPr>
      <w:r>
        <w:t>Erwägungen</w:t>
      </w:r>
    </w:p>
    <w:p>
      <w:r>
        <w:rPr>
          <w:b/>
        </w:rPr>
        <w:t>E. 1</w:t>
      </w:r>
    </w:p>
    <w:p>
      <w:r>
        <w:t>En principe, la Chambre des poursuites et des faillites du Tribunal fédéral ne peut revoir que les décisions des autorités cantonales de surveillance (art. 19 LP) et n'est donc pas compétente pour connaître d'un recours dirigé contre le jugement par lequel est ordonné, en vertu de l'art. 83 al. 1 LP, l'inventaire des biens du débiteur. La recourante soutient cependant qu'en l'espèce, la compétence du Tribunal fédéral résulte de l'art. 55 al. 2 du règlement d'exécution de la loi sur les banques et les caisses d'épargne, du 26 février 1935. Mais cette disposition vise uniquement "les décisions de l'autorité de sursis, du juge de la faillite et de l'autorité de concordat". De même, les art. 29 et suiv. LB n'instituent une procédure spéciale que pour le sursis, la faillite et le concordat. On doit en déduire que, dans tous les autres domaines, la loi fédérale sur la poursuite pour dettes et la faillite de même que la loi fédérale d'organisation judiciaire sont applicables purement et simplement. En l'occurrence, on ne se trouve évidemment pas en présence d'un sursis ou d'un concordat. Il ne s'agit pas non plus d'une procédure de faillite. En effet, le créancier n'a point, jusqu'ici, requis la commination de faillite (art. 159 LP). La procédure qu'il a intentée est encore une poursuite ordinaire, qui en est au stade de la mainlevée BGE 82 III 46 S. 48 provisoire. Dès lors, les dispositions spéciales de la loi fédérale sur les banques et de son règlement d'exécution ne sont pas applicables et le recours est irrecevable.</w:t>
      </w:r>
    </w:p>
    <w:p>
      <w:r>
        <w:rPr>
          <w:b/>
        </w:rPr>
        <w:t>E. 2</w:t>
      </w:r>
    </w:p>
    <w:p>
      <w:r>
        <w:t>Le tarif des frais relatif à la loi sur la poursuite pour dettes et la faillite doit être appliqué par analogie aux recours fondés sur l'art. 55 al. 2 du règlement précité. On ne peut donc ni mettre des frais judiciaires à la charge de la recourante ni la condamner à payer à Gilomen une indemnité à titre de dépens (cf. art. 69 Tarif et RO 76 III 83). Dispositiv Par ces motifs, la Chambre des poursuites et des faillites prononce: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