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40</w:t>
      </w:r>
    </w:p>
    <w:p>
      <w:r>
        <w:t>Bundesgericht (BGE), 1956-01-01, DE</w:t>
      </w:r>
    </w:p>
    <w:p>
      <w:r>
        <w:rPr>
          <w:b/>
        </w:rPr>
        <w:t xml:space="preserve">Quelle: </w:t>
      </w:r>
      <w:r>
        <w:t>https://mcp.opencaselaw.ch/entscheid/bge_BGE_82_III_40</w:t>
      </w:r>
    </w:p>
    <w:p>
      <w:r>
        <w:t>FR: ATF 82 III 40</w:t>
      </w:r>
    </w:p>
    <w:p>
      <w:r>
        <w:t>IT: DTF 82 III 40</w:t>
      </w:r>
    </w:p>
    <w:p>
      <w:pPr>
        <w:pStyle w:val="Heading2"/>
      </w:pPr>
      <w:r>
        <w:t>Regeste</w:t>
      </w:r>
    </w:p>
    <w:p>
      <w:r>
        <w:t>Regeste Ausländerarrest (Art. 271 Abs. 1 Ziff. 4 SchKG). Gültige Arrestprosequierung a) durch Klageanhebung am Arrestort binnen gesetzlicher Frist, b) nach Rückweisung dieser Klage wegen örtlicher Unzuständigkeit des Gerichtes, weil der aufrechtstehende Schuldner schon vor der Klageanhebung seinen Wohnsitz in die Schweiz, und zwar in einen andern Kanton, verlegt hatte: durch neue Klage am Wohnorte des Schuldners währendder gegen den Rückweisungsentscheid laufenden Appellationsfrist. - Art. 59 BV, Art. 278 Abs. 2 SchKG.</w:t>
      </w:r>
    </w:p>
    <w:p>
      <w:r>
        <w:t>Regeste Séquestre contre un débiteur qui n'habite pas la Suisse (art. 271 al. 1 ch. 4 LP). Le créancier poursuit valablement la validation du séquestre a) s'il intente action au lieu du séquestre dans le délai légal; b) si, cette action ayant été déclarée irrecevable pour incompétence du tribunal ratione loci, parce que le débiteur était solvable et avait, avant l'introduction de l'action, transféré son domicile en Suisse, dans un autre canton, le créancier intente une nouvelle action au domicile du débiteur dans le délai pendant lequel le jugement d'irrecevabilité pouvait être frappé d'appel. - Art. 59 Cst., 278 al. 2 LP.</w:t>
      </w:r>
    </w:p>
    <w:p>
      <w:r>
        <w:t>Regesto Sequestro contro un debitore che non abita nella Svizzera (art. 271 cp. 1 cifra 4 LEF). La domanda di convalidazione del sequestro è valida a) se il creditore promuove l'azione al luogo del sequestro entro il termine legale; b) se, dopo che quest'azione è stata dichiarata irricevibile dal tribunale in seguito a incompetenza per territorio giustificata dal fatto che il debitore era solvibile e aveva - prima dell'introduzione dell'azione - trasferito il suo domicilio nella Svizzera, in un altro Cantone, il creditore promuove una nuova azione al domicilio del debitore nel termine entro cui il giudizio d'irricevibilità può essere impugnato mediante appello. - Art. 59 CF, 278 cp. 2 LEF.</w:t>
      </w:r>
    </w:p>
    <w:p>
      <w:pPr>
        <w:pStyle w:val="Heading2"/>
      </w:pPr>
      <w:r>
        <w:t>Erwägungen</w:t>
      </w:r>
    </w:p>
    <w:p>
      <w:r>
        <w:rPr>
          <w:b/>
        </w:rPr>
        <w:t>E. 1</w:t>
      </w:r>
    </w:p>
    <w:p>
      <w:r>
        <w:t>Dass der am 21./22. April 1955 in Nidau gestützt auf Art. 271 Ziff. 4 SchKG erwirkte Arrest nun wegen Hinfalles des Arrestgrundes durch die am 18. Mai 1955 erfolgte Wohnsitznahme in der Schweiz ohne weiteres BGE 82 III 40 S. 44 dahingefallen sei, hat die Schuldnerin nicht geltend gemacht. Dies würde denn auch der herrschenden Ansicht widersprechen, die es nicht einmal zulässt, dass ein im Lauf eines Arrestaufhebungsprozesses eingetretener Hinfall des Arrestgrundes berücksichtigt wird (vgl. BGE 54 III 143 ). Auf keinen Fall wären die Betreibungsbehörden befugt, einen Arrest aus diesem Gesichtspunkte nachträglich aufzuheben. Denn über die mit dem Arrestgrunde zusammenhängenden Fragen hat ausschliesslich zunächst die Arrestbehörde und sodann der Richter im Arrestaufhebungsprozesse zu befinden.</w:t>
      </w:r>
    </w:p>
    <w:p>
      <w:r>
        <w:rPr>
          <w:b/>
        </w:rPr>
        <w:t>E. 2</w:t>
      </w:r>
    </w:p>
    <w:p>
      <w:r>
        <w:t>Zu entscheiden ist somit einzig, ob der in Nidau gelegte Arrest durch die beim dortigen Gericht eingereichte Klage wirksam gemäss Art. 278 Abs. 2 SchKG prosequiert wurde. Nach der frühern Rechtsprechung wäre dies zu verneinen, da die Schuldnerin zwar erst nach Einleitung des Aussöhnungsverfahrens, aber noch vor Einreichung der Klage beim Amtsgericht und damit vor Begründung der Rechtshängigkeit nach Art. 160 der bernischen ZPO, im Kanton Neuenburg Wohnsitz genommen hatte und infolgedessen als "aufrechtstehende Schuldnerin" der Garantie des Wohnsitzgerichtsstandes nach Art. 59 BV teilhaftig geworden war ( BGE 40 I 499 ). Nach der neuern Rechtsprechung ist dagegen auch eine unzuständigen Orts eingereichte Klage zur Arrestprosequierung geeignet, sofern sie alsdann noch während fortbestehender Rechtshängigkeit beim zuständigen Richter angebracht wird ( BGE 75 III 73 ). Und das Fortbestehen der Rechtshängigkeit nach dem Rückweisungsentscheid kann sich aus einer im kantonalen Prozessrecht vorgesehenen Nachfrist ergeben. Davon geht der angefochtene Entscheid zutreffend aus. Er lässt dem Gläubiger die Wirkungen der Nachfrist zugute kommen, wie sie übereinstimmend im bernischen und im neuenburgischen Prozessrechte vorgesehen ist. Dieser Betrachtungsweise hält die Rekurrentin entgegen, es gehe nicht an, die beiden Prozessordnungen in solcher Weise miteinander zu verbinden. Die vorliegenden BGE 82 III 40 S. 45 Akten erlauben nicht, über diese Frage zu entscheiden. Ob sich Art. 168 der neuenburgischen ZPO auch auf den Fall einer zunächst bei einem unzuständigen Richter eines andern Kantons angebrachten Klage beziehen lässt, ist seinem Wortlaut nicht zu entnehmen. Darüber spricht sich auch die vom Gläubiger vorgelegte Bescheinigung des greffier du Tribunal cantonal vom 25. November 1955 nicht aus. Wie dem aber auch sein möge, ist dem angefochtenen Entscheide darin beizustimmen, dass es einer solchen Nachfrist gar nicht bedurfte, um die in Nidau angebrachte Klage nach dem Rückweisungsentscheide des Amtsgerichts noch hängig bleiben zu lassen. Sie blieb während der Appellationsfrist ohnehin hängig, bis zum allfälligen Verzicht auf Appellation, wie er eben erst in der Einreichung einer neuen Klage in Neuenburg enthalten war. Somit bestand die Rechtshängigkeit ohne Unterbrechung fort, gleichwie wenn die neue Klage schon vor dem Urteil des Amtsgerichts Nidau über die Zuständigkeitseinrede vorsorglich in Neuenburg angebracht worden wäre. Die Rückdatierung der Rechtskraft auf den Tag der Urteilsfällung nach Art. 334 der bernischen ZPO vermag, wie der angefochtene Entscheid richtig bemerkt, nichts daran zu ändern, dass die Streitsache im Zeitpunkt der Klageanhebung in Neuenburg noch bei den bernischen Gerichten hängig gewesen war. In der Tat kann einer solchen Fiktion des Datums der Rechtskraft nicht die Bedeutung zukommen, Rechtsakte einer Partei ungültig zu machen, die sie während der Appellationsfrist wegen der damals andauernden Rechtshängigkeit gültig hatte vornehmen können. Der Rekurs erweist sich somit als unbegründet, ohne dass zur Frage der Anwendbarkeit von Art. 139 OR , die in BGE 75 III 73 verneint wurde, Stellung zu nehmen wäre.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