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31</w:t>
      </w:r>
    </w:p>
    <w:p>
      <w:r>
        <w:t>Bundesgericht (BGE), 1956-04-28, DE</w:t>
      </w:r>
    </w:p>
    <w:p>
      <w:r>
        <w:rPr>
          <w:b/>
        </w:rPr>
        <w:t xml:space="preserve">Quelle: </w:t>
      </w:r>
      <w:r>
        <w:t>https://mcp.opencaselaw.ch/entscheid/bge_BGE_82_III_31</w:t>
      </w:r>
    </w:p>
    <w:p>
      <w:r>
        <w:t>FR: ATF 82 III 31</w:t>
      </w:r>
    </w:p>
    <w:p>
      <w:r>
        <w:t>IT: DTF 82 III 31</w:t>
      </w:r>
    </w:p>
    <w:p>
      <w:pPr>
        <w:pStyle w:val="Heading2"/>
      </w:pPr>
      <w:r>
        <w:t>Regeste</w:t>
      </w:r>
    </w:p>
    <w:p>
      <w:r>
        <w:t>Regeste Die Klagefristen im Widerspruchsverfahren (Art. 107 Abs. 1, 109 SchKG) sind gesetzliche Fristen, die das Betreibungsamt nicht verlängern kann. Eine trotzdem bewilligte Verlängerung ist unwirksam.</w:t>
      </w:r>
    </w:p>
    <w:p>
      <w:r>
        <w:t>Regeste Dans la procédure d'opposition, les délais dans lesquels on doit ouvrir action (art. 107 al. 1 et 109 LP) sont des délais légaux, que l'office des poursuites ne peut prolonger. Une telle prorogation est dénuée d'effet.</w:t>
      </w:r>
    </w:p>
    <w:p>
      <w:r>
        <w:t>Regesto Nella procedura di opposizione, i termini entro i quali si deve agire giudizialmente (art. 107 cp. 1 e 109 LEF) sono termini legali che l'ufficio di esecuzione non può prolungare. Una proroga siffatta è inefficace.</w:t>
      </w:r>
    </w:p>
    <w:p>
      <w:pPr>
        <w:pStyle w:val="Heading2"/>
      </w:pPr>
      <w:r>
        <w:t>Erwägungen</w:t>
      </w:r>
    </w:p>
    <w:p>
      <w:r>
        <w:rPr>
          <w:b/>
        </w:rPr>
        <w:t>E. 1</w:t>
      </w:r>
    </w:p>
    <w:p>
      <w:r>
        <w:t>Nachdem die Gläubigerin Kredit- und Verwaltungsbank AG die Drittansprachen der Frau Spannagel und des J. Laube gemäss Art. 106 Abs. 3 SchKG bestritten hatte, musste das Betreibungsamt den Drittansprechern nach Art. 107 Frist zur Widerspruchsklage ansetzen. Es handelt sich dabei um eine gesetzliche Frist, an der das Betreibungsamt nichts ändern kann (vgl. JAEGER, Art. 33 N. 2). Wenn die Drittansprecher daran etwas auszusetzen hatten, konnten sie gegen die Fristansetzung Beschwerde führen, was sie aber, ohne besondere Bewilligung aufschiebender Wirkung, auch nicht von der fristgemässen Klageerhebung entbunden hätte ( Art. 36 SchKG ). Wenn die Drittansprecher weder von der Klagefrist Gebrauch machten noch sie anfochten, sondern lediglich beim Betreibungsamt um Verlängerung bezw. Neuansetzung nachsuchten und das Amt sich darauf einliess, so ändert das nichts daran, dass es bei der ursprünglich gesetzten, von Gesetzes wegen unabänderlichen Frist blieb und die Fristverlängerung bezw. -neuansetzung unwirksam war. Auch der Umstand, dass das Betreibungsamt, indem es eine Woche vor Ablauf der gültig gesetzten Klagefrist zur vermeintlichen Verlängerung Hand bot, dazu beigetragen hat, dass die Ansprecher die rechtzeitige Klageerhebung unterliessen und deswegen allenfalls ihrer Rechte verlustig gehen werden, kann zu keiner anderen Entscheidung führen.</w:t>
      </w:r>
    </w:p>
    <w:p>
      <w:r>
        <w:rPr>
          <w:b/>
        </w:rPr>
        <w:t>E. 2</w:t>
      </w:r>
    </w:p>
    <w:p>
      <w:r>
        <w:t>..... Dispositiv Demnach erkennt die Schuldbetr.- u. Konkurskammer: Der Rekurs wird, soweit darauf eingetreten werden kann,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