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III 26</w:t>
      </w:r>
    </w:p>
    <w:p>
      <w:r>
        <w:t>Bundesgericht (BGE), 1956-05-03, DE</w:t>
      </w:r>
    </w:p>
    <w:p>
      <w:r>
        <w:rPr>
          <w:b/>
        </w:rPr>
        <w:t xml:space="preserve">Quelle: </w:t>
      </w:r>
      <w:r>
        <w:t>https://mcp.opencaselaw.ch/entscheid/bge_BGE_82_III_26</w:t>
      </w:r>
    </w:p>
    <w:p>
      <w:r>
        <w:t>FR: ATF 82 III 26</w:t>
      </w:r>
    </w:p>
    <w:p>
      <w:r>
        <w:t>IT: DTF 82 III 26</w:t>
      </w:r>
    </w:p>
    <w:p>
      <w:pPr>
        <w:pStyle w:val="Heading2"/>
      </w:pPr>
      <w:r>
        <w:t>Regeste</w:t>
      </w:r>
    </w:p>
    <w:p>
      <w:r>
        <w:t>Regeste Lohnpfändung. 1. Was für Verpflichtungen des Schuldners erhöhen seinen Notbedarf? Wie verhält es sich insbesondere mit Abzahlungsquoten und Mietzinsraten für unentbehrliche Sachen? (Erw. 1). 2. Beitragspflicht der Ehefrau nach ehelichem Güterrecht (Art. 192 und 246 ZGB) als zusätzliche Einkommensquelle. Bemessung der Beiträge (Erw. 2).</w:t>
      </w:r>
    </w:p>
    <w:p>
      <w:r>
        <w:t>Regeste Saisie de salaire. 1. Quelles sont les obligations du débiteur qui élèvent le minimum vital? Qu'en est-il en particulier des acomptes et des loyers pour des choses indispensables? (consid. 1). 2. Contribution de l'épouse suivant le régime matrional (art. 192 et 246 CC) comme source complémentaire de revenu. Fixation de la contribution (consid. 2).</w:t>
      </w:r>
    </w:p>
    <w:p>
      <w:r>
        <w:t>Regesto Pignoramento di salario. 1. Quali obblighi del debitore aumentano il suo minimo vitale? Qual è la situazione trattandosi di acconti e di pigioni per cose indispensabili? (consid. 1). 2. Contribuzione della moglie alle spese comuni in base al regime matrimoniale (art. 192 e 246 CC) quale fonte complementare di reddito. Computo della contribuzione (consid. 2).</w:t>
      </w:r>
    </w:p>
    <w:p>
      <w:pPr>
        <w:pStyle w:val="Heading2"/>
      </w:pPr>
      <w:r>
        <w:t>Erwägungen</w:t>
      </w:r>
    </w:p>
    <w:p>
      <w:r>
        <w:rPr>
          <w:b/>
        </w:rPr>
        <w:t>E. 1</w:t>
      </w:r>
    </w:p>
    <w:p>
      <w:r>
        <w:t>Der Rekurrent will die ihm obliegenden Abzahlungen aus einem Möbelkauf als eine zum Notbedarf gehörende Aufwendung betrachtet wissen. Die gegenteilige Entscheidung der kantonalen Aufsichtsbehörde würde ihn, wie er ausführt, daran hindern, diesen Verpflichtungen nachzukommen. Dadurch wäre er gezwungen, einen gutgläubigen Verkäufer zu schädigen. Anderweitige Verpflichtungen des Schuldners können indessen nach ständiger Rechtsprechung bei der Lohnpfändung grundsätzlich nicht berücksichtigt werden. Ausgenommen sind durch Lohnabtretung gedeckte Schulden, ferner solche aus dem Kauf unpfändbarer Sachen, sofern sich der Verkäufer das Eigentum vorbehalten hat, und endlich Schulden aus dem Bezug von Lebensmitteln ( BGE 69 III 17 , BGE 77 III 160 , BGE 79 III 156 , nicht veröffentlichte Entscheidungen vom 17. Dezember 1954 i.S. Sacchi und vom 17. Januar 1955 i.S. Brenn). Dem Ankauf unpfändbarer Sachen mit Eigentumsvorbehalt des Verkäufers ist die blosse Miete solcher Sachen (mit oder ohne Klausel, wonach der Mieter nach Bezahlung einer bestimmten Reihe von Mietzinsraten Eigentümer werde) gleichzuachten, so dass die Mietaufwendungen für Kompetenzstücke ebenfalls in BGE 82 III 26 S. 29 Betracht fallen ( BGE 60 III 175 und Entscheid vom 7. März 1956 i.S. Gebr. Rosenzweig *, der stillschweigend einen Eigentumsvorbehalt voraussetzt). Im vorliegenden Fall geht jedoch aus der vom Rekurrenten vorgelegten Rechnung des Verkäufers der beiden Schlafcouches kein Eigentumsvorbehalt hervor, und es ist das Bestehen eines solchen gar nicht behauptet. Unter diesen Umständen dürfen die Abzahlungsraten für diese Möbelstücke, wiewohl es sich unstreitig um Kompetenzstücke im Sinne von Art. 92 Ziff. 1 SchKG handelt, nicht zum Notbedarf des Schuldners gerechnet werden. Denn weder läuft dieser Gefahr, bei Zahlungsverzug die Möbel wieder zu verlieren, noch verdient der Verkäufer, der sich kein Privileg gesichert hat, vor andern Gläubigern begünstigt zu werden.</w:t>
      </w:r>
    </w:p>
    <w:p>
      <w:r>
        <w:rPr>
          <w:b/>
        </w:rPr>
        <w:t>E. 2</w:t>
      </w:r>
    </w:p>
    <w:p>
      <w:r>
        <w:t>Gegen die Annahme und Berücksichtigung eines Beitrages der Ehefrau an die ehelichen Lasten in der Höhe ihres halben Arbeitsverdienstes wendet der Rekurrent ebenfalls nichts Triftiges ein. Über Bestand und Umfang einer solchen Beitragspflicht, sei es nach Art. 192, insbesondere Abs. 2, oder Art. 246 ZGB haben die Betreibungsbehörden beim Vollzug einer Lohnpfändung vorfrageweise zu entscheiden, falls, wie hier, nicht etwa schon die nach Art. 246 Abs. 2 ZGB zuständige Behörde geurteilt hat (vgl. die in BGE 79 I 116 zu Erw. 3 angeführten Entscheidungen). Eine solche Beitragspflicht besteht grundsätzlich ohne weiteres, sofern nicht die Arbeit der Ehefrau im Haushalt und allenfalls im Geschäft des Ehemannes bereits als ausreichender Beitrag erscheint. Im vorliegenden Fall ist die Ehefrau angesichts des zu knappen Lohneinkommens des Ehemannes zweifellos verpflichtet, etwas von ihrem Arbeitsverdienst an die ehelichen Lasten beizutragen, und dieser von ihr geschuldete Beitrag ist bei der Lohnpfändung zu berücksichtigen, gleichgültig welcher Art die in Betreibung stehende Forderung ist, also nicht nur in der Betreibung für Haushaltschulden ( BGE 63 III 108 , BGE 73 II 98 , * Siehe Seite 25 hievor. BGE 82 III 26 S. 30 BGE 79 III 152). Was die Bemessung des Beitrages anbelangt, so erscheint es bei den nicht ausreichenden Einkünften des Ehemannes keineswegs übersetzt, ihn auf die Hälfte zu bestimmen. Es bedarf hiefür gar keiner besonderen Begründung, wie sie BGE 78 III 124 für die Verpflichtung der Ehefrau zu "aussergewöhnlich hohen" Beiträgen verlangt. Denn ein Monatsbeitrag von Fr. 50.- = ungefähr der Hälfte des Arbeitsverdienstes der Ehefrau ist bei den gegebenen beiderseitigen Einkommensquellen der Ehegatten durchaus normal und nicht aussergewöhnlich hoch. Die Vorinstanz stellt übrigens fest, dass sich auch ein zusätzlicher Beitrag mit Rücksicht auf die Rechtsnatur der in Betreibung stehenden Forderung aus den im soeben erwähnten Entscheid erörterten Gründen rechtfertigen liessen. Die betreffenden Erwägungen sind nach dem Gesagten nicht notwendig, um den in Rechnung gestellten Beitrag von monatlich Fr. 50.- als zutreffend erscheinen zu lassen. Auf die vom Rekurrenten in dieser Hinsicht vorgebrachte Kritik braucht daher gar nicht eingegangen zu werden. Sie scheitert übrigens an der Würdigung der Tatsachen durch die Vorinstanz, woran das Bundesgericht gebunden ist (Art. 81 in Verbindung mit Art. 63 Abs. 2 OG ). Der Rekurrent bringt freilich noch vor, die Ehefrau sei leidend und habe ihre Stelle als Spetterin deshalb angenommen, um die Arztkosten bezahlen zu können. Aber diese neuen Vorbringen fallen nicht mehr in Betracht ( Art. 79 SchKG ), ganz abgesehen davon, dass nichts ausgeführt wird, was darauf hindeuten würde, dass sich die Arztkosten nicht aus dem der Ehefrau belassenen Teil ihres Verdienstes decken liessen.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