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19</w:t>
      </w:r>
    </w:p>
    <w:p>
      <w:r>
        <w:t>Bundesgericht (BGE), 1956-04-19, DE</w:t>
      </w:r>
    </w:p>
    <w:p>
      <w:r>
        <w:rPr>
          <w:b/>
        </w:rPr>
        <w:t xml:space="preserve">Quelle: </w:t>
      </w:r>
      <w:r>
        <w:t>https://mcp.opencaselaw.ch/entscheid/bge_BGE_82_III_19</w:t>
      </w:r>
    </w:p>
    <w:p>
      <w:r>
        <w:t>FR: ATF 82 III 19</w:t>
      </w:r>
    </w:p>
    <w:p>
      <w:r>
        <w:t>IT: DTF 82 III 19</w:t>
      </w:r>
    </w:p>
    <w:p>
      <w:pPr>
        <w:pStyle w:val="Heading2"/>
      </w:pPr>
      <w:r>
        <w:t>Regeste</w:t>
      </w:r>
    </w:p>
    <w:p>
      <w:r>
        <w:t>Regeste Zur Anwendung von Art. 92 Ziff. 1 SchK G: 1. Wann ist im Hinblick auf das zu erwartende Verwertungsergebnis von der Pfändung abzusehen? 2. Unter welchen Voraussetzungen ist ein mündiges Kind des Schuldners zu seiner Familie zu zählen?</w:t>
      </w:r>
    </w:p>
    <w:p>
      <w:r>
        <w:t>Regeste Art. 92 ch. 1 LP. 1. Quand y a-t-il lieu de faire abstraction de la saisie eu égard au résultat que l'on doit attendre de la réalisation? 2. A quelles conditions un enfant majeur doit-il être compris dans la famille du débiteur?</w:t>
      </w:r>
    </w:p>
    <w:p>
      <w:r>
        <w:t>Regesto Art. 92 Num. 1 LEF. 1. Quando si deve prescindere dal pignoramento in considerazione del risultato atteso dalla realizzazione? 2. A quali condizioni un figlio maggiorenne può essere compreso nella famiglia del debitore?</w:t>
      </w:r>
    </w:p>
    <w:p>
      <w:pPr>
        <w:pStyle w:val="Heading2"/>
      </w:pPr>
      <w:r>
        <w:t>Erwägungen</w:t>
      </w:r>
    </w:p>
    <w:p>
      <w:r>
        <w:rPr>
          <w:b/>
        </w:rPr>
        <w:t>E. 1</w:t>
      </w:r>
    </w:p>
    <w:p>
      <w:r>
        <w:t>Gegenstände im Sinne von Art. 92 Ziff. 1 SchKG sind nicht zu pfänden, wenn "von vorneherein anzunehmen ist, dass der Überschuss des Verwertungserlöses über die Kosten so gering wäre, dass sich eine Wegnahme nicht rechtfertigt". Wie es sich bei der in Frage stehenden Pos. 12 der Pfändungsurkunde in dieser Hinsicht verhält, hat der angefochtene Entscheid nicht geprüft. Das wird nachzuholen sein, sofern die Pfändung nicht schon aus dem Gesichtspunkte der Kompetenzqualität der betreffenden Möbel abgelehnt werden muss.</w:t>
      </w:r>
    </w:p>
    <w:p>
      <w:r>
        <w:rPr>
          <w:b/>
        </w:rPr>
        <w:t>E. 2</w:t>
      </w:r>
    </w:p>
    <w:p>
      <w:r>
        <w:t>Inbezug auf die Frage, ob der eheliche Sohn der Schuldnerin, der in ihrem Haushalt lebt, zu ihrer Familie zu rechnen sei, enthält der Rekurs neue Anbringen. Diese sind zu berücksichtigen, da die Schuldnerin im kantonalen Verfahren keine Gelegenheit erhalten hatte, sich zur Beschwerde des Gläubigers vernehmen zu lassen ( Art. 79 OG ). Sollte es sich so verhalten, wie die Schuldnerin vorbringt, so wäre der Sohn in der Tat als zu ihrer Familie gehörig zu betrachten. Denn in diesem Falle wäre der Sohn in weitem Masse auf das ihm von der Mutter gebotene Heim angewiesen, und es müsste ihm mindestens ein moralischer Anspruch auf solche Unterhaltsbeihilfe zugebilligt werden. Das entspricht alter, feststehender Praxis ( BGE 35 I 795 , BGE 39 I 300 = Separatausgabe 12 S. 253, 16 S. 115). Davon will BGE 77 III 157 /8 Erw. 5, b nicht abgehen. Dieser Entscheid bezieht sich auf des Schuldners geschiedene Ehefrau, der nach dem Scheidungsurteil keine Unterhaltsbeiträge zustehen. Wenn für diesen Fall ausgesprochen wurde, eine Unterhalts- oder Unterstützungspflicht des Schuldners wäre nur ausnahmsweise gegeben, so lässt sich daraus nichts herleiten für das Verhältnis zwischen Eltern und volljährigen Kindern. Denn diese haben einander zu BGE 82 III 19 S. 23 unterstützen, "sobald sie ohne diesen Beistand in Not geraten würden" ( Art. 328 ZGB ). Aber auch abgesehen von diesen an besondere Voraussetzungen geknüpften Rechtspflichten ist die moralische Verbundenheit von Eltern und volljährigen Kindern zu beachten, wie sie namentlich zur Geltung kommt, solange die Kinder bei den Eltern wohnen. Unter solchen Umständen rechtfertigt es sich je nach Art und Mass der beidseitigen wirtschaftlichen Bedürfnisse und Möglichkeiten, die Kinder, auch wenn sie eigenem Verdienste nachgehen, zur Familie des Schuldners zu rechnen. Zur nähern Abklärung des Sachverhaltes und zu neuer Beurteilung ist die Angelegenheit an die Vorinstanz zurückzuweisen. Dispositiv Demnach erkennt die Schuldbetr. u. Konkurskammer: Der Rekurs wird dahin gutgeheissen, dass der angefochtene Entscheid hinsichtlich der Pfändbarkeit der in Pos. 12 der Pfändungsurkunde aufgeführten Möbel aufgehoben und die Sache zu neuer Beurteilung dieses Punktes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