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17</w:t>
      </w:r>
    </w:p>
    <w:p>
      <w:r>
        <w:t>Bundesgericht (BGE), 1956-04-19, DE</w:t>
      </w:r>
    </w:p>
    <w:p>
      <w:r>
        <w:rPr>
          <w:b/>
        </w:rPr>
        <w:t xml:space="preserve">Quelle: </w:t>
      </w:r>
      <w:r>
        <w:t>https://mcp.opencaselaw.ch/entscheid/bge_BGE_82_III_17</w:t>
      </w:r>
    </w:p>
    <w:p>
      <w:r>
        <w:t>FR: ATF 82 III 17</w:t>
      </w:r>
    </w:p>
    <w:p>
      <w:r>
        <w:t>IT: DTF 82 III 17</w:t>
      </w:r>
    </w:p>
    <w:p>
      <w:pPr>
        <w:pStyle w:val="Heading2"/>
      </w:pPr>
      <w:r>
        <w:t>Regeste</w:t>
      </w:r>
    </w:p>
    <w:p>
      <w:r>
        <w:t>Regeste Nachträglicher Rechtsvorschlag (Art. 77 SchKG). Wirkungen.</w:t>
      </w:r>
    </w:p>
    <w:p>
      <w:r>
        <w:t>Regeste Opposition tardive (art. 77 LP). Effets.</w:t>
      </w:r>
    </w:p>
    <w:p>
      <w:r>
        <w:t>Regesto Opposizione tardiva (art. 77 LEF). Effetti.</w:t>
      </w:r>
    </w:p>
    <w:p>
      <w:pPr>
        <w:pStyle w:val="Heading2"/>
      </w:pPr>
      <w:r>
        <w:t>Volltext</w:t>
      </w:r>
    </w:p>
    <w:p>
      <w:r>
        <w:t>Bundesgericht (BGE) Band III 1956 BGE 82 III 17 Tribunal fédéral (ATF) Volume III 1956 BGE 82 III 17 Tribunale federale (DTF) Volume III 1956 BGE 82 III 17</w:t>
      </w:r>
    </w:p>
    <w:p>
      <w:r>
        <w:t>Regeste Nachträglicher Rechtsvorschlag (Art. 77 SchKG). Wirkungen. Regeste Opposition tardive (art. 77 LP). Effets. Regesto Opposizione tardiva (art. 77 LEF). Effetti.</w:t>
      </w:r>
    </w:p>
    <w:p>
      <w:r>
        <w:t>Urteilskopf 82 III 17 7. Auszug aus dem Entscheid vom 19. April 1956 i. S. Raggenbass. Regeste Nachträglicher Rechtsvorschlag ( Art. 77 SchKG ). Wirkungen. Sachverhalt ab Seite 17 BGE 82 III 17 S. 17 In einer Grundpfandbetreibung gegen Raggenbass erhob dieser am 12. Mai 1955 nachträglichen Rechtsvorschlag. Gleichzeitig führte er Beschwerde mit dem Antrag, alle gegen ihn gerichteten Betreibungshandlungen, insbesondere die auf den folgenden Tag angesetzte Steigerung, seien aufzuheben bezw. zu sistieren. Der zugleich als Richter BGE 82 III 17 S. 18 im Sinne von Art. 77 SchKG und als untere Aufsichtsgehörde in Betreibungssachen amtende Bezirksgerichtspräsident Neutoggenburg verfügte weder die vorläufige Einstellung der Betreibung gemäss Art. 77 Abs. 2 SchKG , noch erteilte er der Beschwerde aufschiebende Wirkung, so dass die Steigerung am 13. Mai 1955 durchgeführt wurde. Das Gesuch um Bewilligung des nachträglichen Rechtsvorschlags und die Beschwerde wies er in der Folge ab. Am 31. Januar 1956 bewilligte dagegen der Rekursrichter des Kantonsgerichtes St.Gallen den nachträglichen Rechtsvorschlag. Die obere kantonale Aufsichtsbehörde in Betreibungssachen wies am 21. März 1956 das Begehren des Betriebenen um Aufhebung der Steigerung und der ihr vorausgegangenen Betreibungshandlungen ab und erteilte dem Betreibungsamt die Weisung, das Betreibungsverfahren vor dem endgültigen Entscheid über den Rechtsvorschlag nicht weiterzuführen und dem betreibenden Gläubiger eine Frist von 10 Tagen anzusetzen, binnen der er die Rechtsöffnung zu verlangen oder Klage auf Anerkennung seiner Forderung anzuheben habe. Das Bundesgericht weist den Rekurs des Betriebenen gegen diesen Entscheid ab. Erwägungen Aus den Erwägungen: Die Aufsichtsbehörden haben nicht zu überprüfen, ob das Gesuch des Rekurrenten um Bewilligung des nachträglichen Rechtsvorschlags begründet gewesen sei und ob der Bezirksgerichtspräsident richtigerweise sogleich nach Eingang dieses Gesuchs die Einstellung der Betreibung gemäss Art. 77 Abs. 2 SchKG verfügt hätte. Die Beurteilung dieser Fragen fiel in die ausschliessliche Zuständigkeit des Richters. Es ist aber auch nicht zu untersuchen, ob der mit dem Gesuch um Bewilligung des nachträglichen Rechtsvorschlags verbundenen Beschwerde die aufschiebende Wirkung zu Recht oder zu Unrecht nicht erteilt wurde. Abgesehen davon, dass es sich hier um eine Ermessensfrage handelt, die sich der Kognition des BGE 82 III 17 S. 19 Bundesgerichts entzieht (JAEGER N. 3 zu Art. 36 SchKG ), könnte die - inzwischen durchgeführte - Steigerung heute nicht mehr sistiert werden. Zu prüfen ist dagegen, welche Wirkung der am 31. Januar 1956 bewilligte nachträgliche Rechtsvorschlag auf das Betreibungsverfahren hat. Im Kreisschreiben Nr. 7 vom 15. November 1899 hat die Schuldbetreibungs- und Konkurskammer auf Grund von Art. 77 und 78 SchKG festgestellt, die Bewilligung des nachträglichen Rechtvorschlags hemme lediglich die Fortsetzung des Betreibungsverfahrens; dagegen seien die vollzogenen Betreibungshandlungen nicht ohne weiteres als aufgehoben zu betrachten. Aus diesem Grundsatze hat die Vorinstanz mit Recht gefolgert, dass der dem Rekurrenten am 31. Januar 1956 bewilligte nachträgliche Rechtsvorschlag den Steigerungszuschlag vom 13. Mai 1955 und die ihm vorausgegangenen Betreibungshandlungen nicht dahinfallen lässt. Ebenfalls mit Recht hat sie angeordnet, dass das Zwangsvollstreckungsverfahren nicht weitergeführt werden darf, solange über den Rechtsvorschlag nicht endgültig entschieden ist (vgl. Art. 78 Abs. 1 SchKG ), und in Anlehnung an das erwähnte Kreisschreiben dem Grundpfandgläubiger eine Frist angesetzt, binnen der er die Rechtsöffnung zu verlangen oder auf Anerkennung seiner Forderung zu klagen hat. Was zu geschehen hat, wenn der Gläubiger diese Frist nicht beobachtet oder mit seinen Vorkehren die Beseitigung des Rechtsvorschlags nicht erreicht, braucht heute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