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145</w:t>
      </w:r>
    </w:p>
    <w:p>
      <w:r>
        <w:t>Bundesgericht (BGE), 1956-01-01, DE</w:t>
      </w:r>
    </w:p>
    <w:p>
      <w:r>
        <w:rPr>
          <w:b/>
        </w:rPr>
        <w:t xml:space="preserve">Quelle: </w:t>
      </w:r>
      <w:r>
        <w:t>https://mcp.opencaselaw.ch/entscheid/bge_BGE_82_III_145</w:t>
      </w:r>
    </w:p>
    <w:p>
      <w:r>
        <w:t>FR: ATF 82 III 145</w:t>
      </w:r>
    </w:p>
    <w:p>
      <w:r>
        <w:t>IT: DTF 82 III 145</w:t>
      </w:r>
    </w:p>
    <w:p>
      <w:pPr>
        <w:pStyle w:val="Heading2"/>
      </w:pPr>
      <w:r>
        <w:t>Regeste</w:t>
      </w:r>
    </w:p>
    <w:p>
      <w:r>
        <w:t>Regeste Beschwerdeverfahren. Bundesrecht und kantonales Recht. Kantonalrechtliches Verbot der Änderung der Rechtsbegehren. Auslegung der mit Beschwerde und kantonalem Rekurs gestellten Anträge. Arrest auf Forderungen, die auf den Namen eines Dritten lauten, aber nach den Behauptungen des Arrestgläubigers dem Arrestschuldner gehören. Zulässigkeit. Widerspruchsverfahren.</w:t>
      </w:r>
    </w:p>
    <w:p>
      <w:r>
        <w:t>Regeste Procédure de recours. Droit fédéral et droit cantonal. Disposition du droit cantonal interdisant la modification des conclusions. Interprétation des conclusions prises dans la plainte et dans le recours à l'autorité cantonale de surveillance. Séquestre sur des créances qui sont au nom d'un tiers mais au sujet desquelles le créancier séquestrant allègue qu'elles appartiennent au débiteur séquestré. Admissibilité. Procédure de revendication.</w:t>
      </w:r>
    </w:p>
    <w:p>
      <w:r>
        <w:t>Regesto Procedura di ricorso. Diritto federale e diritto cantonale. Disposizione del diritto cantonale che vieta la modificazione delle conclusioni. Interpretazione delle conclusioni formulate nel reclamo e nel ricorso all'autorità cantonale di vigilanza. Sequestro concernente crediti che sono al nome di un terzo ma circa i quali il creditore procedente al sequestro asserisce che appartengono al debitore contro il quale il sequestro è chiesto. Ammissibilità. Procedura di rivendicazione.</w:t>
      </w:r>
    </w:p>
    <w:p>
      <w:pPr>
        <w:pStyle w:val="Heading2"/>
      </w:pPr>
      <w:r>
        <w:t>Erwägungen</w:t>
      </w:r>
    </w:p>
    <w:p>
      <w:r>
        <w:rPr>
          <w:b/>
        </w:rPr>
        <w:t>E. 1</w:t>
      </w:r>
    </w:p>
    <w:p>
      <w:r>
        <w:t>Von Art. 18 SchKG abgesehen, enthält das Bundesrecht keine besondern Bestimmungen über die Weiterziehung an die obere kantonale Aufsichtsbehörde. Die Praxis nimmt an, die Zulassung neuer Vorbringen dürfe im kantonalen Beschwerde- und Rekursverfahren nicht an strengere Voraussetzungen geknüpft werden, als Art. 79 OG sie für die bundesgerichtliche Instanz aufstellt ( BGE 73 III 33 ). Anderseits folgt aus Art. 17 SchKG , dass vor der zweiten Instanz nicht eine Verfügung angefochten werden kann, die mangels Anfechtung durch Beschwerde an die untere Aufsichtsbehörde rechtskräftig geworden ist. Unter Vorbehalt dieser Regeln ist es grundsätzlich Sache des kantonalen Rechts, das kantonale Weiterziehungsverfahren zu ordnen und insbesondere zu bestimmen, ob vor der obern kantonalen Aufsichtsbehörde neue Begehren, Tatsachen, Bestreitungen und Beweismittel angebracht werden dürfen. Die Anwendung des kantonalen Rechts kann das Bundesgericht nicht überprüfen (vgl. Art. 81 in Verbindung mit Art. 43 OG ). Die Annahme der Vorinstanz, dass die Rekurrentin das ursprüngliche Beschwerdebegehren nach glarnerischem Verfahrensrecht vor der obern kantonalen Aufsichtsbehörde nicht habe ändern oder erweitern dürfen, ist demnach für das Bundesgericht verbindlich. Wenn die Rekurrentin in zweiter Instanz wirklich ein anderes Begehren gestellt hätte als in der Beschwerde an die untere Aufsichtsbehörde, so wäre zu sagen, dass sie Gelegenheit gehabt hätte, dieses Begehren schon vor erster Instanz anzubringen, so dass die Anwendung des kantonalen Verbots der Änderung der Rechtsbegehren nicht gegen die Regel verstiesse, dass das kantonale Recht hinsichtlich BGE 82 III 145 S. 150 der Zulassung neuer Vorbringen nicht strenger sein darf als Art. 79 OG . Das Bundesgericht kann aber in jedem Fall untersuchen, welches der Sinn der Anträge sei, die mit der Beschwerde und mit dem kantonalen Rekurs gestellt wurden, da die Prüfung dieser Frage zur materiellen Beurteilung der ihm durch Rekurs nach Art. 19 SchKG unterbreiteten Beschwerdesache gehört. Massgebend ist dabei nicht einfach der Wortlaut der Anträge, sondern die Bedeutung, die diesen angesichts der gegebenen Umstände vernünftigerweise beizulegen ist (vgl. BGE 82 II 178 ). Betrachtet man die Anträge der Rekurrentin von diesem Gesichtspunkt aus, so ergibt sich, dass von einer Änderung und Erweiterung des ursprünglichen Beschwerdebegehrens nicht die Rede sein kann. Was die Rekurrentin letzlich erreichen wollte und noch will, ist unzweifelhaft die Auszahlung der auf die Forderung von Fr. 496'801.30 entfallenden Abschlagsdividende an sie. Deshalb suchte sie im kantonalen Verfahren von Anfang an den Widerruf der Mitteilung des Betreibungsamtes an das Konkursamt vom 18. März 1954 zu bewirken, derentwegen das Konkursamt die verlangte Auszahlung verweigerte. Da sie zunächst annahm, das Betreibungsamt erhebe seinerseits Anspruch auf Auszahlung der streitigen Dividende, welche Auffassung angesichts des letzten Absatzes des Schreibens vom 18. März 1954 durchaus vertretbar war, verlangte sie vor erster Instanz, das Betreibungsamt sei anzuweisen, diesen Anspruch zurückzuziehen. Als dann die untere Aufsichtsbehörde die Mitteilung vom 18. März 1954 als Arrestanzeige qualifizierte, stellte die Rekurrentin vor zweiter Instanz wie nachher vor Bundesgericht einen Antrag, der dem Sinne nach auf Annullierung dieser Anzeige geht. Sachlich lag darin keine Abweichung vom ursprünglichen Begehren. Gewechselt haben nur die Bezeichnung der Verfügung, deren Beseitigung die Rekurrentin anstrebt, und die Worte, mit denen sie ihr Verlangen nach dem Widerruf dieser Verfügung zum Ausdruck brachte. Indem die Vorinstanz BGE 82 III 145 S. 151 auf die Unterschiede im Wortlaut der Anträge abstellte, ohne ihren übereinstimmenden Sinn zu beachten, verschrieb sie sich einem unzulässigen Formalismus. Sie hätte also auf den Rekurs eintreten sollen. Ihr Nichteintretensentscheid bedeutet geradezu eine Rechtsverweigerung im Sinne von Art. 19 Abs. 2 SchKG , gegen die nach dieser Bestimmung jederzeit Beschwerde geführt werden kann ( BGE 80 III 96 ).</w:t>
      </w:r>
    </w:p>
    <w:p>
      <w:r>
        <w:rPr>
          <w:b/>
        </w:rPr>
        <w:t>E. 2</w:t>
      </w:r>
    </w:p>
    <w:p>
      <w:r>
        <w:t>Lehnt die kantonale Aufsichtsbehörde die materielle Behandlung eines Begehrens zu Unrecht ab, so kommt es normalerweise zu einer Rückweisung. Diese Massnahme erübrigt sich jedoch im vorliegenden Falle, weil die Sache spruchreif ist. Die Forderungen, welche die Rekurrentin gegen die Mobiliare Verkehrs AG zu haben behauptet und in deren Konkurs angemeldet hat, sind arrestiert worden, weil die Arrestgläubiger geltend machten, dass sie in Wirklichkeit nicht der Rekurrentin, sondern den Arrestschuldnern zustehen. Wie die obere Aufsichtsbehörde des Kantons Zürich in ihrem Entscheid vom 16. Mai 1956 zutreffend ausgeführt hat, ist es zulässig, Guthaben zu arrestieren, die zwar auf den Namen eines Dritten lauten, aber nach den Behauptungen des Arrestgläubigers dem Arrestschuldner gehören, und muss in einem solchen Falle die Frage, wem die arrestierte Forderung zustehe, im Widerspruchsverfahren abgeklärt werden ( BGE 63 III 67 , BGE 80 III 90 Erw. 4, BGE 82 III 70 Abs. 2). Solange dieses Verfahren schwebt, bleibt der Arrest (unter Vorbehalt des Hinfalls nach Art. 278 Abs. 4 SchKG ) aufrecht und muss daher auch die gegenüber dem Schuldner der arrestierten Forderung verfügte Sperre bestehen bleiben. Die Beschwerde der Rekurrentin ist demnach unbegründet. Die von ihr angerufenen Entscheide BGE 54 III Nr. 36 (wo es sich um die Pfändbarkeit eines Guthabens und um die amtliche Verwahrung arrestierter und von einem Dritten zu Eigentum angesprochener körperlicher Gegenstände handelte) und BGE 60 III Nr. 37 (der die Arrestierung von Wertpapieren bei einem den BGE 82 III 145 S. 152 Gewahrsam bestreitenden Dritten betraf und übrigens durchBGE 63 III 65ff. überholt ist) haben mit dem vorliegenden Falle nichts zu tun.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