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14</w:t>
      </w:r>
    </w:p>
    <w:p>
      <w:r>
        <w:t>Bundesgericht (BGE), 1956-04-30, DE</w:t>
      </w:r>
    </w:p>
    <w:p>
      <w:r>
        <w:rPr>
          <w:b/>
        </w:rPr>
        <w:t xml:space="preserve">Quelle: </w:t>
      </w:r>
      <w:r>
        <w:t>https://mcp.opencaselaw.ch/entscheid/bge_BGE_82_III_14</w:t>
      </w:r>
    </w:p>
    <w:p>
      <w:r>
        <w:t>FR: ATF 82 III 14</w:t>
      </w:r>
    </w:p>
    <w:p>
      <w:r>
        <w:t>IT: DTF 82 III 14</w:t>
      </w:r>
    </w:p>
    <w:p>
      <w:pPr>
        <w:pStyle w:val="Heading2"/>
      </w:pPr>
      <w:r>
        <w:t>Regeste</w:t>
      </w:r>
    </w:p>
    <w:p>
      <w:r>
        <w:t>Regeste Beginn der Frist zum Rekurs nach Art. 19 SchKG. Der Beschwerdeführer hat dafür zu sorgen, dass ihm der Entscheid bei längerer Abwesenheit vom Wohnorte gleichwohl zugestellt werden kann.</w:t>
      </w:r>
    </w:p>
    <w:p>
      <w:r>
        <w:t>Regeste Point de départ du délai de recours de l'art. 19 LP. Si le plaignant s'absente de son domicile pour une période relativement longue, il doit veiller à ce que la décision puisse lui être notifiée.</w:t>
      </w:r>
    </w:p>
    <w:p>
      <w:r>
        <w:t>Regesto Inizio del termine di ricorso a norma dell'art. 19 LEF. Se si allontana dal suo domicilio per un tempo relativamente lungo, il ricorrente deve provvedere che la decisione gli possa essere notificata.</w:t>
      </w:r>
    </w:p>
    <w:p>
      <w:pPr>
        <w:pStyle w:val="Heading2"/>
      </w:pPr>
      <w:r>
        <w:t>Erwägungen</w:t>
      </w:r>
    </w:p>
    <w:p>
      <w:r>
        <w:rPr>
          <w:b/>
        </w:rPr>
        <w:t>E. 1</w:t>
      </w:r>
    </w:p>
    <w:p>
      <w:r>
        <w:t>Die Rekursfrist von zehn Tagen nach Art. 19 SchKG läuft von der Zustellung des kantonalen Entscheides unter Angabe der Entscheidungsgründe an ( Art. 77 OG ). Diese Zustellung fand hier an der vom Schuldner in der Beschwerde angegebenen Wohnadresse am 5. März 1956 statt. Dass die Person, die den Entscheid entgegennahm und den Empfang bescheinigte, hiezu nicht ermächtigt gewesen sei, wird nicht eingewendet. Auch sonst wird die Art und Weise der Zustellung nicht bemängelt, und es ist denn auch nicht zu finden, wieso die als Gerichtsurkunde (acte judiciaire, atto giudiziale) im Sinne der Postordnung bezeichnete Sendung nicht in richtiger Form zugestellt worden sein sollte.</w:t>
      </w:r>
    </w:p>
    <w:p>
      <w:r>
        <w:rPr>
          <w:b/>
        </w:rPr>
        <w:t>E. 2</w:t>
      </w:r>
    </w:p>
    <w:p>
      <w:r>
        <w:t>Der Rekurs ist somit verspätet. Übrigens wäre dem Schuldner nicht freigestanden, sich für längere Zeit vom Wohnorte zu entfernen, ohne für die Möglichkeit der Zustellung des von ihm selbst anbegehrten Entscheides auch während seiner Abwesenheit zu sorgen, sei es durch Meldung seines jeweiligen Aufenthaltsortes oder durch Bezeichnung eines Zustellungsempfängers. Vernachlässigte er diese Sorgfaltspflicht, und vereitelte er damit eine in gehöriger Weise versuchte Zustellung, so hatte er den Zustellungsversuch als Zustellung gelten zu lassen (vgl. BGE 78 I 129 Erw. 1 a.E.; Urteil der II. Zivilabteilung vom 6. März 1956 i.S. Bürgisser gegen Vormundschaftsbehörde Zürich (BGE 81 II Heft 2) mit weitern Zitaten). Indessen ist hier, wie erwähnt, die Gültigkeit der am 5. März 1956 erfolgten Zustellung gar nicht bestritten.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