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131</w:t>
      </w:r>
    </w:p>
    <w:p>
      <w:r>
        <w:t>Bundesgericht (BGE), 1956-01-01, DE</w:t>
      </w:r>
    </w:p>
    <w:p>
      <w:r>
        <w:rPr>
          <w:b/>
        </w:rPr>
        <w:t xml:space="preserve">Quelle: </w:t>
      </w:r>
      <w:r>
        <w:t>https://mcp.opencaselaw.ch/entscheid/bge_BGE_82_III_131</w:t>
      </w:r>
    </w:p>
    <w:p>
      <w:r>
        <w:t>FR: ATF 82 III 131</w:t>
      </w:r>
    </w:p>
    <w:p>
      <w:r>
        <w:t>IT: DTF 82 III 131</w:t>
      </w:r>
    </w:p>
    <w:p>
      <w:pPr>
        <w:pStyle w:val="Heading2"/>
      </w:pPr>
      <w:r>
        <w:t>Regeste</w:t>
      </w:r>
    </w:p>
    <w:p>
      <w:r>
        <w:t>Regeste Beschwerde gegen den Sachwalter bei Nachlassstundung. Art. 17, 295 Abs. 3 SchKG. Anfechtbare Verfügung: eine dem Schuldner erteilte Weisung im Sinne von Art. 298 SchKG. Ein davon betroffener Gläubiger und Zessionar ist zur Beschwerde legitimiert (Erw. 1). Die Weisung des Sachwalters, sich Ansprüchen eines Dritten zu widersetzen, ist rechtmässig, wenn sie sich auf ernsthafte Gründe stützt. Die Entscheidung über derart bestrittene Ansprüche bleibt dem Richter vorbehalten (Erw. 2).</w:t>
      </w:r>
    </w:p>
    <w:p>
      <w:r>
        <w:t>Regeste Plainte contre le commissaire en cas de sursis concordataire. Art. 17, 295 al. 3 LP. Mesure qui peut être attaquée: une injonction au débiteur dans le sens de l'art. 298 LP. Un créancier et cessionnaire qui est ainsi atteint a qualité pour porter plainte (consid. 1). L'injonction du commissaire de s'opposer aux prétentions d'un tiers est régulière lorsqu'elle repose sur des motifs sérieux. La décision sur ces prétentions contestées demeure réservée au juge (consid. 2).</w:t>
      </w:r>
    </w:p>
    <w:p>
      <w:r>
        <w:t>Regesto Reclamo contro il commissario in caso di moratoria. Art. 17, 295 cp. 3 LEF. Decisione impugnabile: un ordine impartito al debitore nel senso dell'art. 298 LEF. Un creditore e cessionario che ne è leso ha veste per interporre reclamo (consid. 1). L'ordine del commissario di opporsi alle pretese di un terzo è regolare se è fondato su motivi seri. La decisione su queste pretese contestate è riservata al giudice (consid. 2).</w:t>
      </w:r>
    </w:p>
    <w:p>
      <w:pPr>
        <w:pStyle w:val="Heading2"/>
      </w:pPr>
      <w:r>
        <w:t>Erwägungen</w:t>
      </w:r>
    </w:p>
    <w:p>
      <w:r>
        <w:rPr>
          <w:b/>
        </w:rPr>
        <w:t>E. 1</w:t>
      </w:r>
    </w:p>
    <w:p>
      <w:r>
        <w:t>Soweit sich die Beschwerde gegen den Schuldner richtete, war sie zweifellos nicht zulässig. Die Beschwerde wurde aber auch gegen den Sachwalter erhoben, im Sinne von Art. 295 Abs. 3 in Verbindung mit den Art. 17 ff. SchKG . Davon geht der angefochtene Entscheid gleichfalls aus; er hält die Beschwerde aber für unzulässig, weil der Sachwalter gar keine Verfügung getroffen habe, die Gegenstand einer Beschwerde bilden könnte, und weil übrigens eine dem Schuldner erteilte Weisung nur von diesem, nicht auch von einem Gläubiger hätte angefochten werden können. In der einen wie in der andern Hinsicht erweckt die Betrachtungsweise der Vorinstanz Bedenken. Die Rekurrentin entnimmt eine förmliche Weisung des Sachwalters einem Brief vom 12. April 1956, worin er ihr mitteilte, infolge der Nachlasstundung sei der Schuldner unter Straffolge während dieser Zeit nicht berechtigt, irgendwelche Verfügungen über Abtretungen, Begünstigungen etc. gegenüber den Gläubigern zu treffen. Die Rekurrentin weist auch auf die Begründung des erstinstanzlichen Beschwerdeentscheides hin, wo es heisst, der Sachwalter opponiere für den Schuldner, indem er geltend mache, mit der Bewilligung der Nachlasstundung können zukünftige Forderungen nicht mehr abgetreten werden. In der Tat liegt in diesen Erklärungen des Sachwalters keine blosse Ansichtsäusserung, sondern der Sachwalter hat damit kraft seines Amtes Stellung bezogen. Der Brief an die Gläubigerin sprach aus, was für den Schuldner verbindlich sein solle. Dass er dem Schuldner eine entsprechende BGE 82 III 131 S. 135 Weisung und nicht bloss eine unverbindliche Rechtsauskunft zu beliebigem Gebrauch erteilt hatte, lag auf der Hand. In gleichem Sinne sind denn auch die Ausführungen des Sachwalters in seiner Vernehmlassung vom 26. April 1956 an die Vorinstanz zu verstehen: "Gestützt auf die tel. Anfrage des Schuldners an den Unterzeichneten, wie er sich gegenüber diesen Begehren der Bank zu verhalten habe, musste ich demselben mitteilen, dass gestützt auf die gesetzlichen Bestimmungen solchen Begehren nicht entsprochen werden könne". Diese Weisung unterlag der Anfechtung durch Beschwerde, und zwar kann der dadurch betroffenen (und zudem durch den erwähnten Brief direkt vom Sachwalter benachrichtigten) Gläubigerin die Beschwerdelegitimation nicht abgesprochen werden. Wenn JAEGER, N. 1 zu Art. 298 SchKG , II S. 434 unten, sich darauf beschränkt, gegenüber den Weisungen des Sachwalters das Beschwerderecht des Schuldners zu erwähnen, so ist damit der Frage nicht vorgegriffen, ob bei ungesetzlichem oder unangemessenem Eingriff in Rechte Anderer nicht auch diesen der Beschwerdeweg offen stehe. Diese Frage ist zu bejahen, entsprechend den die Legitimation zur Beschwerde nach den Art. 17 ff. SchKG beherrschenden Grundsätzen. Dass in die Rechte anderer Personen eingreifende Verfügungen des Sachwalters auch von diesen angefochten werden können, ist übrigens speziell für die Schätzungen nach Art. 299 SchKG anerkannt (JAEGER, N. 3 hiezu; BGE 61 III mit Hinweis auf Art. 9 und 99 VZG und Art. 4 Abs. 2 der Verordnung über den Bankennachlassvertrag).</w:t>
      </w:r>
    </w:p>
    <w:p>
      <w:r>
        <w:rPr>
          <w:b/>
        </w:rPr>
        <w:t>E. 2</w:t>
      </w:r>
    </w:p>
    <w:p>
      <w:r>
        <w:t>Die Beschwerde war aber aus den von der Vorinstanz ergänzend angestellten Erwägungen unbegründet. Nach Art. 298 SchKG untersteht der Schuldner der Aufsicht des Sachwallters. Die dort in Abs. 1 aufgezählten Verfügungen kann er seit der öffentlichen Bekanntmachung der Stundung überhaupt nicht mehr gültig vornehmen (vgl. indessen BGE 77 III 46 Erw. 2), und im übrigen hat er die ihm allfällig vom Sachwalter erteilten Weisungen BGE 82 III 131 S. 136 zu befolgen, unter Vorbehalt des Beschwerderechtes. Es ist anerkannt, dass solche Weisungen sowohl auf ein Unterlassen wie auf ein Tun gerichtet sein und auch rechtsgeschäftliche Vorkehren betreffen können ( BGE 62 III 192 ). Die hier angefochtene Weisung hielt sich in diesem Rahmen. Der Sachwalter überschritt also nicht die mit seinen Obliegenheiten verbundenen Befugnisse. Aber auch sachlich lässt sich die Weisung, den Begehren der Rekurrentin nicht zu entsprechen, nicht beanstanden. Wie es jedermann erlaubt ist, Ansprüche Anderer, die er für unbegründet hält, zu bestreiten, so handelt auch ein Sachwalter rechtmässig, wenn er dem Schuldner aufgibt, sich Ansprüchen eines Gläubigers zu widersetzen, die nach seiner Ansicht mit den Wirkungen der Nachlasstundung nicht vereinbar sind. Da diese Art der Stellungnahme weder als böswillig noch als leichtfertig, d.h. jedes ernsten Grundes entbehrend, erscheint, muss es dabei sein Bewenden haben. Eine Prüfung der zivilrechtlichen Rechtslage steht den Aufsichtsbehörden nicht zu; vielmehr wird über die Frage, ob und allenfalls in welchem Umfange der Abtretungsvertrag vom 28. November 1955 auch für die Zeit der Nachlasstundung gelte, nur der Richter entscheiden können.</w:t>
      </w:r>
    </w:p>
    <w:p>
      <w:r>
        <w:rPr>
          <w:b/>
        </w:rPr>
        <w:t>E. 3</w:t>
      </w:r>
    </w:p>
    <w:p>
      <w:r>
        <w:t>Bei dieser Sachlage hat die Rekurrentin kein Interesse an einer Aufhebung des zu Unrecht ergangenen kantonalen Nichteintretensentscheides und an einer Rückweisung der Sache zu materieller Beurteilung der Beschwerde. Diese müsste, wie dargetan, aus den zusätzlichen Erwägungen der Vorinstanz abgewiesen werden, ohne Präjudiz für die Entscheidung der zivilrechtlichen Streitfragen.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