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127</w:t>
      </w:r>
    </w:p>
    <w:p>
      <w:r>
        <w:t>Bundesgericht (BGE), 1956-05-30, DE</w:t>
      </w:r>
    </w:p>
    <w:p>
      <w:r>
        <w:rPr>
          <w:b/>
        </w:rPr>
        <w:t xml:space="preserve">Quelle: </w:t>
      </w:r>
      <w:r>
        <w:t>https://mcp.opencaselaw.ch/entscheid/bge_BGE_82_III_127</w:t>
      </w:r>
    </w:p>
    <w:p>
      <w:r>
        <w:t>FR: ATF 82 III 127</w:t>
      </w:r>
    </w:p>
    <w:p>
      <w:r>
        <w:t>IT: DTF 82 III 127</w:t>
      </w:r>
    </w:p>
    <w:p>
      <w:pPr>
        <w:pStyle w:val="Heading2"/>
      </w:pPr>
      <w:r>
        <w:t>Regeste</w:t>
      </w:r>
    </w:p>
    <w:p>
      <w:r>
        <w:t>Regeste Mangelhafte Gläubigerbezeichnung im Arrestbefehl oder Betreibungsbegehren; Folgen (Erw. 1 und 2). Über den Bestand der arrestierten Forderung haben grundsätzlich die Betreibungsbehörden nicht zu entscheiden (Erw. 3). Schranken der Pfändbarkeit eines Werklohnguthabens (Erw. 4).</w:t>
      </w:r>
    </w:p>
    <w:p>
      <w:r>
        <w:t>Regeste Indication défectueuse du créancier dans l'ordonnance de séquestre ou la réquisition de poursuite. Conséquences (consid. 1 et 2). Il n'appartient pas en principe aux autorités de poursuite de se prononcer sur l'existence de la créance séquestrée (consid. 3). Limites de la saisissabilité de la rémunération de l'entrepreneur (consid. 4).</w:t>
      </w:r>
    </w:p>
    <w:p>
      <w:r>
        <w:t>Regesto Indicazione difettosa del creditore nel decreto di sequestro o nella domanda di esecuzione. Conseguenze (consid. 1 e 2). Non spetta di massima alle autorità di esecuzione pronunciarsi sull'esistenza del credito sequestrato (consid. 3). Limiti della pignorabilità della retribuzione di un appaltatore (consid. 4).</w:t>
      </w:r>
    </w:p>
    <w:p>
      <w:pPr>
        <w:pStyle w:val="Heading2"/>
      </w:pPr>
      <w:r>
        <w:t>Erwägungen</w:t>
      </w:r>
    </w:p>
    <w:p>
      <w:r>
        <w:rPr>
          <w:b/>
        </w:rPr>
        <w:t>E. 1</w:t>
      </w:r>
    </w:p>
    <w:p>
      <w:r>
        <w:t>Der Rekurrent beanstandet mit Recht die unvollständige Gläubigerbezeichnung "Anita Krocker, Deutschland". Für sich allein ist diese Benennung gar nicht geeignet, die Person der Gläubigerin zu identifizieren. Indessen ist der Rekurrent, wie sich aus seinen eigenen Vorbringen ergibt, über diese Person genügend orientiert, wie sich denn die Arrestnahme auf den Verlustschein stützt, den die Gläubigerin in einer gegen den Rekurrenten durchgeführten Betreibung erhalten hat. Somit besteht kein Grund, den Arrestvollzug wegen Ungewissheit über die Person des Gläubigers aufzuheben.</w:t>
      </w:r>
    </w:p>
    <w:p>
      <w:r>
        <w:rPr>
          <w:b/>
        </w:rPr>
        <w:t>E. 2</w:t>
      </w:r>
    </w:p>
    <w:p>
      <w:r>
        <w:t>Die blosse Angabe "Deutschland" statt des genauen Wohnortes verstösst freilich noch gegen die spezielle Vorschrift von Art. 274 Ziff. 1 SchKG (entsprechend Art. 67 Ziff. 1). Das Betreibungsamt hätte wegen dieses Mangels den Vollzug des Arrestbefehls verweigern dürfen; doch ist der Mangel nicht geeignet, den tatsächlich erfolgten Vollzug ungültig zu machen ( BGE 47 III 121 ff.). Vielmehr wird das Betreibungsamt der die Gläubigerin vertretenden Amtsvormundschaft der Stadt Zürich Gelegenheit zur BGE 82 III 127 S. 130 Ergänzung der unvollständigen Angaben einzuräumen haben. Da diese Behörde anscheinend nicht selber gesetzliche Vertreterin der Anita Krocker ist, besteht ausserdem Veranlassung, von ihr die Angabe des gesetzlichen Vertreters und einen Vollmachtsausweis zu verlangen.</w:t>
      </w:r>
    </w:p>
    <w:p>
      <w:r>
        <w:rPr>
          <w:b/>
        </w:rPr>
        <w:t>E. 3</w:t>
      </w:r>
    </w:p>
    <w:p>
      <w:r>
        <w:t>Auf die weitere Einrede des Rekurrenten, für die in Frage stehenden Bauarbeiten stehe ihm eine Forderung nur gegen den Bauherrn, die Borchardt-Cohen'sche Stiftung, Schaffhausen, zu, nicht gegen den bauleitenden Architekten Niehus, ist die Vorinstanz nicht eingetreten. Sie weist darauf hin, dass die den Bestand eines arrestierten Rechtes betreffenden Einreden nach zürcherischer Praxis mit der Arrestaufhebungsklage geltend zu machen seien (Blätter für zürch. Rechtsprechung 26 Nr. 187). Es mag dahingestellt bleiben, ob diese später vom zürcherischen Obergericht wieder in Frage gestellte Praxis (BIZüR 47 Nr. 150; dazu die Kritik von FRITZSCHE, SchK-recht II S. 217 N. 290) richtig sei. Wie es sich damit auch verhalten möge, steht es jedenfalls den Betreibungsbehörden nicht zu, über den gültigen Bestand arrestierter oder gepfändeter Rechte, insbesondere Forderungen, zu entscheiden. Nur bei zweifelloser Nichtexistenz solcher Rechte lässt sich die Aufhebung ihrer Arrestierung oder Pfändung durch die Aufsichtsbehörden rechtfertigen (vgl. BGE 81 III 17 ff.). Ein solcher Ausnahmefall liegt hier jedoch nicht vor. Sollte aber die Gläubigerin selber bei näherer Prüfung des Sachverhaltes dem Rekurrenten beistimmen und deshalb die Verwertung der von ihm bestrittenen Forderung gegen Architekt Niehus als aussichtslos betrachten, so steht ihr natürlich frei, auf diesen Arrest zu verzichten und einen neuen Arrest auf eine entsprechende Forderung gegen die Bauherrschaft zu nehmen.</w:t>
      </w:r>
    </w:p>
    <w:p>
      <w:r>
        <w:rPr>
          <w:b/>
        </w:rPr>
        <w:t>E. 4</w:t>
      </w:r>
    </w:p>
    <w:p>
      <w:r>
        <w:t>Das arrestierte Werklohnguthaben enthält nach den schon in kantonaler Instanz vorgebrachten Angaben des Rekurrenten neben dem Entgelt für Arbeit eine Vergütung für das von ihm beschaffte oder noch zu beschaffende Material. Mit Hinweis auf JAEGER, Die Lohnpfändung BGE 82 III 127 S. 131 (SJZ 32 S. 77), hält er für arrestier- und pfändbar (im Rahmen von Art. 93 SchKG ) nur das Arbeitsentgelt, nicht auch die Materialvergütung. Die letztere ist jedoch nach der Praxis im Gegenteil grundsätzlich unbeschränkt pfändbar (vgl. BGE 49 III 99 , ZbernJV 79 S. 428). Ausgenommen ist nur der Teil der Materialvergütung, den der Schuldner allenfalls braucht, um das notwendige Material zur Fortsetzung seiner Arbeit während eines Monates anzuschaffen ( BGE 71 III 176 Erw. 2). Daran knüpfen die Eventualvorbringen des Rekurrenten an, die auf Zubilligung einer "Materialvergütung für die Fortsetzung der Arbeiten" abzielen. In dieser Hinsicht enthält der Rekurs jedoch nur unbestimmte Vorbringen, die einen Anspruch solcher Art nicht darzutun vermögen. Übrigens stellt die Vorinstanz für das Bundesgericht verbindlich fest ( Art. 63 und 81 OG ), dass die dem Rekurrenten für den in Frage stehenden Bau bereits zugeflossenen Teilzahlungen von Fr. 11'000.-- auch bei Berücksichtigung des Existenzminimums zur Begleichung der Materialbezüge hinreichen würden. Wenn der Rekurrent beträchtliche Teilbeträge davon den Zwecken dieses Baues entfremdet hat, indem er nach seinen eigenen Vorbringen in kantonaler Instanz Fr. 2500.-- zur Bezahlung anderer Schulden verwendete, kann er die an die erwähnten engen Voraussetzungen gebundene Unpfändbarkeit der Materialvergütung als Zuschlag zum Existenzminimum nicht beanspruchen.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