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 9</w:t>
      </w:r>
    </w:p>
    <w:p>
      <w:r>
        <w:t>Bundesgericht (BGE), 1955-02-18, DE</w:t>
      </w:r>
    </w:p>
    <w:p>
      <w:r>
        <w:rPr>
          <w:b/>
        </w:rPr>
        <w:t xml:space="preserve">Quelle: </w:t>
      </w:r>
      <w:r>
        <w:t>https://mcp.opencaselaw.ch/entscheid/bge_BGE_81_I_9</w:t>
      </w:r>
    </w:p>
    <w:p>
      <w:r>
        <w:t>FR: ATF 81 I 9</w:t>
      </w:r>
    </w:p>
    <w:p>
      <w:r>
        <w:t>IT: DTF 81 I 9</w:t>
      </w:r>
    </w:p>
    <w:p>
      <w:pPr>
        <w:pStyle w:val="Heading2"/>
      </w:pPr>
      <w:r>
        <w:t>Regeste</w:t>
      </w:r>
    </w:p>
    <w:p>
      <w:r>
        <w:t>Regeste Kant. Steuerrecht. Die im Kanton Zürich geltende Ordnung, wonach im Rahmen einer Besteuerung nach Ertragsintensität nur die als Ertrag versteuerten Reserven als Bestandteile des für die Berechnung des Steuersatzes massgebenden Verhältniskapitals behandelt werden, ist nicht willkürlich.</w:t>
      </w:r>
    </w:p>
    <w:p>
      <w:r>
        <w:t>Regeste Droit fiscal cantonal. N'est pas arbitraire, le principe appliqué par le canton de Zurich et selon lequel, dans le système qui proportionne la charge fiscale à l'intensité du rendement et pour le calcul du capital qui détermine le taux de l'imposition, on ne tient compte des réserves que si elles ont été imposées au titre du bénéfice net.</w:t>
      </w:r>
    </w:p>
    <w:p>
      <w:r>
        <w:t>Regesto Diritto fiscale cantonale. Non è arbitraria la prassi vigente nel Cantone di Zurigo, secondo cui nel quadro di un'imposizione basata sull'intensità del reddito si tiene conto, per il computo del capitale proporzionale determinante agli effetti dell'aliquota, soltanto delle riserve che sono state imposte quale utile.</w:t>
      </w:r>
    </w:p>
    <w:p>
      <w:pPr>
        <w:pStyle w:val="Heading2"/>
      </w:pPr>
      <w:r>
        <w:t>Erwägungen</w:t>
      </w:r>
    </w:p>
    <w:p>
      <w:r>
        <w:rPr>
          <w:b/>
        </w:rPr>
        <w:t>E. 1</w:t>
      </w:r>
    </w:p>
    <w:p>
      <w:r>
        <w:t>Mit der staatsrechtlichen Beschwerde aus Art. 4 BV , die rein kassatorischen Charakter hat, kann nur die Aufhebung des angefochtenen Entscheides beantragt werden. Soweit mit der vorliegenden Eingabe andere Begehren erhoben werden, ist auf die Beschwerde nicht einzutreten. Nicht einzutreten ist weiterhin auf die Behauptung, der angefochtene Entscheid verletze die bundesrechtliche Steueramnestie vom Jahre 1940. Diese Rüge, die im direkten verwaltungsrechtlichen Prozess gemäss Art. 111, lit. a OG zu beurteilen ist, wurde von der Beschwerdeführerin nachträglich zum Gegenstand einer besonderen Eingabe an das Bundesgericht gemacht und scheidet daher hier aus.</w:t>
      </w:r>
    </w:p>
    <w:p>
      <w:r>
        <w:rPr>
          <w:b/>
        </w:rPr>
        <w:t>E. 2</w:t>
      </w:r>
    </w:p>
    <w:p>
      <w:r>
        <w:t>Die Praxis der Zürcher Oberrekurskommission, wonach nur die als Ertrag versteuerten Reserven steuerbares Eigenkapital bilden (RB 1933 Nr. 25 und 26), ist mit Recht nicht als willkürlich angefochten worden. Wenn sie auch nicht die einzige, an sich denkbare Ordnung für das steuerbare Kapital einer Aktiengesellschaft ist, so BGE 81 I 9 S. 15 erscheint sie doch jedenfalls als eine mögliche und - im Rahmen einer Besteuerung, die auf die Ertragsintensität als wesentliches Element für die Steuerbemessung abstellt - einleuchtende Regelung. Im übrigen beruht der Entscheid der Oberrekurskommission auf der Annahme, dass die Anrechnung der Reserve als steuerbares Kapital stattzufinden hätte, wenn die Reserve vor dem Eintritt der Steuerpflichtigen in die zürcherische Steuerhoheit in Genf als Ertrag versteuert worden wäre oder wenn sie als Ertrag hätte besteuert werden können und unter der Annahme, dass zürcherisches Recht anwendbar gewesen wäre, hätte besteuert werden müssen. Damit wird die Beschwerdeführerin nicht, wie sie behauptet, einer für sie im massgebenden Zeitpunkt nicht geltenden Steuergesetzgebung unterstellt, sondern es wird zusätzlich, zu ihren Gunsten, neben der Behandlung, die am damaligen Steuerort tatsächlich stattgefunden hat, ein weiterer Gesichtspunkt, der die Anrechnung der Reserve als steuerbares Kapital ermöglichen würde, in die Untersuchung einbezogen. In einer solchen Erweiterung der Untersuchung zu Gunsten des Steuerpflichtigen kann aber unmöglich Willkür liegen. Dass das Ergebnis negativ ausgefallen ist, ändert daran nichts. Im Jahre 1932, dem Zeitpunkt, in welchem die Betriebsstätte in Zürich gegründet wurde und die Beschwerdeführerin unter die Steuerhoheit und Steuergesetzgebung des Kantons Zürich trat, war die Reserve unbestrittenermassen in der Bilanz nicht ausgewiesen und sie hatte, wie die Oberrekurskommission überzeugend dartut, sowohl nach ihrer Veranlassung als auch nach der - übrigens noch in der staatsrechtlichen Beschwerde vorgebrachten - Begründung den Charakter einer internen Berichtigung der Warenbewertung (vgl. dazu auch BGE 69 I S. 274). Die Anerkennung als steuerbares Kapital bei der Besteuerung in Genf und bei den eidgenössischen direkten Steuern fand erst viel später statt in einem Zeitpunkt, in welchem die Beschwerdeführerin BGE 81 I 9 S. 16 längst der zürcherischen Steuergesetzgebung unterstand, der Vorwurf, es werde auf die Beschwerdeführerin eine für sie nicht geltende Gesetzgebung angewandt, daher überhaupt nicht zutreffen kann.</w:t>
      </w:r>
    </w:p>
    <w:p>
      <w:r>
        <w:rPr>
          <w:b/>
        </w:rPr>
        <w:t>E. 3</w:t>
      </w:r>
    </w:p>
    <w:p>
      <w:r>
        <w:t>Seit 1932 unterlag die Beschwerdeführerin der zürcherischen Steuerhoheit. Die zürcherische Steuerpraxis lässt die Überführung einer aus geschäftsmässig begründeten Abschreibungen herrührenden Reserve in das steuerbare Kapital davon abhängen, dass der Steuerpflichtige die Reserve in der einen oder andern Form realisiert, was in der Regel dazu führt, dass die Reserve als Ertrag ausgewiesen wird. Bis dies geschieht, hat es bei der Gestaltung der Sachlage sein Bewenden, die durch Anerkennung der Geschäftsmässigkeit der vom Steuerpflichtigen in Anspruch genommenen Abschreibungen geschaffen wurde. In einer Besteuerung, die sich in dieser Weise nach der Haltung richtet, die der Steuerpflichtige nach seinem geschäftlichen Ermessen einnimmt, kann aber unmöglich Willkür liegen. Widerspruchsvoll und in diesem Sinne willkürlich verhält sich die Beschwerdeführerin, die auf der einen Seite die Reserven, die aus mit dem Zerfall der Rohmaterialpreise begründeten Abschreibungen entstanden sind, als definitiv erworbenes Kapital behandelt wissen will, anderseits aber dem ordnungsgemässen Ausweis der entsprechenden Erträgnisse über Gewinn- und Verlustrechnung auszuweichen versucht.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