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48</w:t>
      </w:r>
    </w:p>
    <w:p>
      <w:r>
        <w:t>Bundesgericht (BGE), 1955-04-06, DE</w:t>
      </w:r>
    </w:p>
    <w:p>
      <w:r>
        <w:rPr>
          <w:b/>
        </w:rPr>
        <w:t xml:space="preserve">Quelle: </w:t>
      </w:r>
      <w:r>
        <w:t>https://mcp.opencaselaw.ch/entscheid/bge_BGE_81_I_48</w:t>
      </w:r>
    </w:p>
    <w:p>
      <w:r>
        <w:t>FR: ATF 81 I 48</w:t>
      </w:r>
    </w:p>
    <w:p>
      <w:r>
        <w:t>IT: DTF 81 I 48</w:t>
      </w:r>
    </w:p>
    <w:p>
      <w:pPr>
        <w:pStyle w:val="Heading2"/>
      </w:pPr>
      <w:r>
        <w:t>Regeste</w:t>
      </w:r>
    </w:p>
    <w:p>
      <w:r>
        <w:t>Regeste Art. 83 lit. e OG, 377 ZGB. Anspruch auf Übertragung bzw. Übernahme der Vormundschaft. wenn die Zustimmung der bisherigen Vormundschaftsbehörde zum Aufenthaltswechsel sachlich gerechtfertigt ist; Kognitionsbefugnis des Bundesgerichtes.</w:t>
      </w:r>
    </w:p>
    <w:p>
      <w:r>
        <w:t>Regeste Art. 83 litt. e OJ, 377 CC. Droit au transfert et à la reprise d'une tutelle lorsque l'autorité tutélaire jusqu'alors compétente admet le changement de domicile et que son consentement est justifié du point de vue matériel; pouvoir d'examen du Tribunal fédéral.</w:t>
      </w:r>
    </w:p>
    <w:p>
      <w:r>
        <w:t>Regesto Art. 83 lett. e OG, 377 CC. Diritto al trasferimento e all'assunzione di una tutela quando l'autorità tutoria competente fino a quel momento ammette il cambiamento di domicilio e il suo consenso è oggettivamente giustificato; sindacato del Tribunale federale.</w:t>
      </w:r>
    </w:p>
    <w:p>
      <w:pPr>
        <w:pStyle w:val="Heading2"/>
      </w:pPr>
      <w:r>
        <w:t>Erwägungen</w:t>
      </w:r>
    </w:p>
    <w:p>
      <w:r>
        <w:rPr>
          <w:b/>
        </w:rPr>
        <w:t>E. 1</w:t>
      </w:r>
    </w:p>
    <w:p>
      <w:r>
        <w:t>Nach der Rechtsprechung des Bundesgerichts zu Art. 377 ZGB geht die Vormundschaft über ein Mündel vom bisherigen Wohnsitz an die Vormundschaftsbehörde eines neuen Aufenthaltsortes über, wenn das Mündel sich mit Zustimmung der bisherigen Vormundschaftsbehörde dort aufhält und dieser Aufenthalt derart ist, dass gemäss Art. 23 ZGB dort sein Wohnsitz wäre, wenn dieser sich nicht nach Art. 25 Abs. 1 ZGB bestimmen würde ( BGE 71 I 159 , BGE 78 I 223 , nicht publiziertes Urteil vom 1. Juli 1953 i.S. Waisenamt St. Gallen Erw. 2). Auch wenn dabei der Wille des urteilsfähigen Mündels - und mit einem solchen hat man es bei Werner Hofer offenbar zu tun - rechtlich nicht ganz unbeachtlich ist, seiner Absicht dauernden Verbleibens an einem bestimmten Orte also eine gewisse Bedeutung nicht abgesprochen werden kann, was auch hier offen bleiben mag, so würde dieser Wille allein zur Begründung eines Wohnsitzes nicht ausreichen. Es muss die Zustimmung der Vormundschaftsbehörde hinzutreten, die aber nur erteilt werden darf, wenn der Wohnsitzwechsel im wohlverstandenen Interesse des Mündels gelegen ist, der Aufenthaltswechsel dazu bestimmt ist, die mit der Vormundschaft verfolgten Zwecke zu erreichen. Eine Zustimmung, die den wahren Interessen des Mündels widerspricht, ist unbeachtlich, vermag den Wohnsitzwechsel nicht zu rechtfertigen und gibt daher der Behörde BGE 81 I 48 S. 52 des neuen Aufenthaltsortes das Recht, die Übernahme der Vormundschaft abzulehnen ( BGE 78 I 222 sowie das erw. Urteil i.S. Waisenamt St. Gallen). Zwar wird damit eine vormundschaftliche Frage geprüft. Art. 83 lit. e OG steht dem jedoch nicht entgegen. Er will einer sachlich nicht begründeten Verschiebung einer Vormundschaft begegnen. Dieses Ziel würde nicht erreicht, wenn auch eine objektiv nicht gerechtfertigte Zustimmung zum Wohnsitzwechsel die Behörde am Aufenthaltsort zur Übernahme zwingen würde. Ein Aufenthaltswechsel läuft aber den wohlverstandenen Interessen des Mündels zuwider, wenn er geduldet wird, bloss um das Mündel wirtschaftlich besser zu stellen und von der Hilfe der Behörde unabhängiger zu machen. Er braucht mcht hingenommen zu werden, wenn das Mündel, dermassen auf sich selbst gestellt, entweder überhaupt nicht arbeitet oder den Arbeitsverdienst nicht für die Bedürfnisse des Lebensunterhaltes, für Nahrung, Wohnung und Kleider, sondern für Alkohol oder Vergnügungen ausgibt und ökonomisch oder sittlich verkommt.</w:t>
      </w:r>
    </w:p>
    <w:p>
      <w:r>
        <w:rPr>
          <w:b/>
        </w:rPr>
        <w:t>E. 2</w:t>
      </w:r>
    </w:p>
    <w:p>
      <w:r>
        <w:t>(Anwendung dieser Grundsätze auf den vorliegenden Fall).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